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87R11721 SLB-D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Landgraf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2717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certain requirements for water systems.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341, Health and Safety Code, is amended by adding Section 341.043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341.043.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BOIL WATER NOTICES.  (a) </w:t>
      </w:r>
      <w:r>
        <w:rPr>
          <w:u w:val="single"/>
        </w:rPr>
        <w:t xml:space="preserve"> </w:t>
      </w:r>
      <w:r>
        <w:rPr>
          <w:u w:val="single"/>
        </w:rPr>
        <w:t xml:space="preserve">The operator of a public drinking water supply system, when required by commission rule to issue a boil water notice to its customers,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provide the notice in writing to each customer as prescribed by commission rule to the street address of the customer;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attempt to reach each customer by electronic means to provide notice as prescribed by commission rule.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When a boil water notice is no longer in effect, the operator of a public drinking water supply system shall notify each customer that the boil water notice has expired in the manner described by Subsection (a).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186, Utilities Code, is amended by adding Section 186.008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186.008.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WEATHERIZATION.  The Texas Commission on Environmental Quality may require that a public utility that furnishes water to the public complete a program of weatherization if that commission finds that the public utility is at risk of being unable to provide water to customers for a significant period of time due to weather-related failures in equipment or infrastructure.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2717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