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a student from participating in future extracurricular activities for certain conduct involving the assault of an extracurricular activity official.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Subsections (e-1), (e-2), (e-3), (e-4), and (h) and amending Subsections (f)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student who is enrolled in a school district in this state or who participates in a University Interscholastic League competition shall be prohibited from participation in any future extracurricular activity sponsored or sanctioned by the school district or the University Interscholastic League if the state executive committee of the league determines that the student intentionally, knowingly, or recklessly causes bodily injury to a person serving as referee, judge, or other official of an extracurricular activity in retaliation for or as a result of the person's actions taken in performing the duties of a referee, judge, or other official of the extracurricular activity.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 student prohibited from participation in an extracurricular activity under Subsection (e-1) may submit to the University Interscholastic League a request that the student be permitted to participate in future extracurricular activities sponsored or sanctioned by the University Interscholastic League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 is submitted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year after the date the student engaged in the conduct that resulted in the prohibition under Subsection (e-1) if the student was enrolled in eighth grade or below at the time of the conduct;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w:t>
      </w:r>
      <w:r>
        <w:rPr>
          <w:u w:val="single"/>
        </w:rPr>
        <w:t xml:space="preserve">years after the date the student engaged in the conduct that resulted in the prohibition under Subsection (e-1) if the student was enrolled in ninth grade or above at the time of the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completed a course in anger management since engaging in the conduct that resulted in the prohibition under Subsection (e-1);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completed any other course, activity, or action required by the school district in which the student is enrolled as a result of the conduct that resulted in the prohibition under Subsection (e-1);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demonstrates, to the satisfaction of the school district and the University Interscholastic League, that the student has been rehabilitated and is unlikely to again engage in the conduct described by Subsection (e-1);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previous request submitted by the student under this section has not been denied during the school year in which the request is submitted.</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When determining whether to grant a request under Subsection (e-2), the University Interscholastic League: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take into account the severity of the conduct that resulted in the prohibition under Subsection (e-1);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set conditions for the student's future participation in extracurricular activities.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University Interscholastic League may prohibit a student from participating in any future extracurricular activity sponsored or sanctioned by the University Interscholastic League if the student violates a condition set by the University Interscholastic League under Subsection (e-3)(2).</w:t>
      </w:r>
    </w:p>
    <w:p w:rsidR="003F3435" w:rsidRDefault="0032493E">
      <w:pPr>
        <w:spacing w:line="480" w:lineRule="auto"/>
        <w:ind w:firstLine="720"/>
        <w:jc w:val="both"/>
      </w:pPr>
      <w:r>
        <w:t xml:space="preserve">(f)</w:t>
      </w:r>
      <w:r xml:space="preserve">
        <w:t> </w:t>
      </w:r>
      <w:r xml:space="preserve">
        <w:t> </w:t>
      </w:r>
      <w:r>
        <w:rPr>
          <w:u w:val="single"/>
        </w:rPr>
        <w:t xml:space="preserve">Except for a student prohibited from participation under Subsection (e-1), a</w:t>
      </w:r>
      <w:r>
        <w:t xml:space="preserve"> [</w:t>
      </w:r>
      <w:r>
        <w:rPr>
          <w:strike/>
        </w:rPr>
        <w:t xml:space="preserve">A</w:t>
      </w:r>
      <w:r>
        <w:t xml:space="preserve">] student suspended under this section may practice or rehearse with other students for an extracurricular activity but may not participate in a competition or other public performance.</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student's eligibility to participate in extracurricular activities, including issues related to the student's grades</w:t>
      </w:r>
      <w:r>
        <w:rPr>
          <w:u w:val="single"/>
        </w:rPr>
        <w:t xml:space="preserve">,</w:t>
      </w:r>
      <w:r>
        <w:t xml:space="preserve"> [</w:t>
      </w:r>
      <w:r>
        <w:rPr>
          <w:strike/>
        </w:rPr>
        <w:t xml:space="preserve">or</w:t>
      </w:r>
      <w:r>
        <w:t xml:space="preserve">] the school district's grading policy as applied to the student's eligibility</w:t>
      </w:r>
      <w:r>
        <w:rPr>
          <w:u w:val="single"/>
        </w:rPr>
        <w:t xml:space="preserve">, or the student's eligibility based on conduct described by Subsection (e-1)</w:t>
      </w:r>
      <w:r>
        <w:t xml:space="preserve">. 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request made under Subsection (e-2) is not a contested case subject to Chapter 2001,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2721 was passed by the House on May 8, 2021, by the following vote:</w:t>
      </w:r>
      <w:r xml:space="preserve">
        <w:t> </w:t>
      </w:r>
      <w:r xml:space="preserve">
        <w:t> </w:t>
      </w:r>
      <w:r>
        <w:t xml:space="preserve">Yeas 135, Nays 4, 2 present, not voting; and that the House concurred in Senate amendments to H.B. No. 2721 on May 28, 2021, by the following vote:</w:t>
      </w:r>
      <w:r xml:space="preserve">
        <w:t> </w:t>
      </w:r>
      <w:r xml:space="preserve">
        <w:t> </w:t>
      </w:r>
      <w:r>
        <w:t xml:space="preserve">Yeas 142,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2721 was passed by the Senate, with amendments, on May 20,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