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student from participating in future extracurricular activities for certain conduct involving the assault of an extracurricular activity official.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(e-1) and amending Subsections (f)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student engages in conduct that contains the elements of the offense of assault under  Section 22.01(a)(1),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serving as referee, judge, or other official of an extracurricular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retaliation for or as a result of the person's actions taken in performing the duties of a referee, judge, or other official of the extracurricular activity.</w:t>
      </w:r>
      <w:r>
        <w:t xml:space="preserve"> </w:t>
      </w:r>
    </w:p>
    <w:p w:rsidR="003F3435" w:rsidRDefault="0032493E">
      <w:pPr>
        <w:spacing w:line="480" w:lineRule="auto"/>
        <w:ind w:firstLine="720"/>
        <w:jc w:val="both"/>
      </w:pPr>
      <w:r>
        <w:t xml:space="preserve">(f)</w:t>
      </w:r>
      <w:r xml:space="preserve">
        <w:t> </w:t>
      </w:r>
      <w:r xml:space="preserve">
        <w:t> </w:t>
      </w:r>
      <w:r>
        <w:rPr>
          <w:u w:val="single"/>
        </w:rPr>
        <w:t xml:space="preserve">Except for a student prohibited from participation under Subsection (e-1), a</w:t>
      </w:r>
      <w:r>
        <w:t xml:space="preserve"> [</w:t>
      </w:r>
      <w:r>
        <w:rPr>
          <w:strike/>
        </w:rPr>
        <w:t xml:space="preserve">A</w:t>
      </w:r>
      <w:r>
        <w:t xml:space="preserve">]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student's eligibility to participate in extracurricular activities, including issues related to the student's grades</w:t>
      </w:r>
      <w:r>
        <w:rPr>
          <w:u w:val="single"/>
        </w:rPr>
        <w:t xml:space="preserve">,</w:t>
      </w:r>
      <w:r>
        <w:t xml:space="preserve"> [</w:t>
      </w:r>
      <w:r>
        <w:rPr>
          <w:strike/>
        </w:rPr>
        <w:t xml:space="preserve">or</w:t>
      </w:r>
      <w:r>
        <w:t xml:space="preserve">] the school district's grading policy as applied to the student's eligibility</w:t>
      </w:r>
      <w:r>
        <w:rPr>
          <w:u w:val="single"/>
        </w:rPr>
        <w:t xml:space="preserve">, or the student's eligibility based on conduct described by Subsection (e-1)</w:t>
      </w:r>
      <w:r>
        <w:t xml:space="preserve">.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