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87R9284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2725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using certain materially false or misleading statements in the commission of the offense of fraudulent use or possession of identifying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32.51(c-1), Penal Code, is amended to read as follows:</w:t>
      </w:r>
    </w:p>
    <w:p w:rsidR="003F3435" w:rsidRDefault="0032493E">
      <w:pPr>
        <w:spacing w:line="480" w:lineRule="auto"/>
        <w:ind w:firstLine="720"/>
        <w:jc w:val="both"/>
      </w:pPr>
      <w:r>
        <w:t xml:space="preserve">(c-1)</w:t>
      </w:r>
      <w:r xml:space="preserve">
        <w:t> </w:t>
      </w:r>
      <w:r xml:space="preserve">
        <w:t> </w:t>
      </w:r>
      <w:r>
        <w:t xml:space="preserve">An offense described for purposes of punishment by Subsections (c)(1)-(3)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offense was committed against an elderly individual as defined by Section 22.04;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actor fraudulently used identifying information with the intent to facilitate an offense under Article 62.102, Code of Criminal Procedure</w:t>
      </w:r>
      <w:r>
        <w:rPr>
          <w:u w:val="single"/>
        </w:rPr>
        <w:t xml:space="preserv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used a materially false or misleading statement regarding the availability, provision, or distribution of a vaccine to obtain the identifying information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