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87R8399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in-person visitation of an immediate family member or religious counsel with seriously ill or dying hospital patients and facility residents.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241, Health and Safety Code, is amended by adding Section 241.012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241.012.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IN-PERSON VISITATION OF IMMEDIATE FAMILY MEMBER OR RELIGIOUS COUNSEL.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"Immediate family member"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 who is related to a person within the second degree by affinity or consanguinity, as determined under Chapter 573,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"Religious counsel" means an individual acting substantially in a pastoral or religious capacity to counsel other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may not prohibit in-person visitation, including visitation during a state of disaster declared under Chapter 418, Government Code, of the following individuals with a patient at the hospital who is seriously ill or dying: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immediate family member of the patient;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religious counsel.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a hospital may require the immediate family member or religious counsel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to a health screening administered by the hospital;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wear personal protective equipment at all times while visiting a patient at the hospital.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event of a conflict between this section and any other law, this section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L, Chapter 242, Health and Safety Code, is amended by adding Section 242.506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242.506.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IN-PERSON VISITATION OF IMMEDIATE FAMILY MEMBER OR RELIGIOUS COUNSEL.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"Immediate family member" means an individual who is related to a person within the second degree by affinity or consanguinity, as determined under Chapter 573,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"Religious counsel" means an individual acting substantially in a pastoral or religious capacity to counsel other individuals.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may not prohibit in-person visitation, including visitation during a state of disaster declared under Chapter 418, Government Code, of the following individuals with a resident of the facility who is seriously ill or dying: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immediate family member of the patient;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religious counsel.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a facility may require the immediate family member or religious counsel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to a health screening administered by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wear personal protective equipment at all times while visiting a resident at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event of a conflict between this section and any other law, this section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