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 King of Parker, White,</w:t>
      </w:r>
      <w:r xml:space="preserve">
        <w:tab wTab="150" tlc="none" cTlc="0"/>
      </w:r>
      <w:r>
        <w:t xml:space="preserve">H.B.</w:t>
      </w:r>
      <w:r xml:space="preserve">
        <w:t> </w:t>
      </w:r>
      <w:r>
        <w:t xml:space="preserve">No.</w:t>
      </w:r>
      <w:r xml:space="preserve">
        <w:t> </w:t>
      </w:r>
      <w:r>
        <w:t xml:space="preserve">2733</w:t>
      </w:r>
    </w:p>
    <w:p w:rsidR="003F3435" w:rsidRDefault="0032493E">
      <w:pPr>
        <w:jc w:val="both"/>
      </w:pPr>
      <w:r xml:space="preserve">
        <w:t> </w:t>
      </w:r>
      <w:r xml:space="preserve">
        <w:t> </w:t>
      </w:r>
      <w:r xml:space="preserve">
        <w:t> </w:t>
      </w:r>
      <w:r xml:space="preserve">
        <w:t> </w:t>
      </w:r>
      <w:r xml:space="preserve">
        <w:t> </w:t>
      </w:r>
      <w:r>
        <w:t xml:space="preserve">Bowers,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defendants restricted to the operation of a vehicle equipped with an ignition interlock device or required to submit to alcohol monitoring and establishing a central database of those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2.33.</w:t>
      </w:r>
      <w:r>
        <w:rPr>
          <w:u w:val="single"/>
        </w:rPr>
        <w:t xml:space="preserve"> </w:t>
      </w:r>
      <w:r>
        <w:rPr>
          <w:u w:val="single"/>
        </w:rPr>
        <w:t xml:space="preserve"> </w:t>
      </w:r>
      <w:r>
        <w:rPr>
          <w:u w:val="single"/>
        </w:rPr>
        <w:t xml:space="preserve">REPORT REQUIRED FOR VIOLATION OF REQUIREMENT RELATING TO IGNITION INTERLOCK DEVICE OR OTHER ALCOHOL MONITORING DEVICE.  A peace officer shall make a report to the Department of Public Safety if the peace officer has probable cause to believe that a person has violated: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condition of bond imposed under Article 17.441, a condition of community supervision imposed under Article 42A.408, a condition of holding an occupational driver's license under Section 521.246, Transportation Code, or a court order issued under Section 49.09(h), Penal Code, restricting the person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condition of bond imposed under Article 17.44(a)(3) or a condition of community supervision imposed under Chapter 42A requiring the person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17.44, Code of Criminal Procedure, is amended to read as follows:</w:t>
      </w:r>
    </w:p>
    <w:p w:rsidR="003F3435" w:rsidRDefault="0032493E">
      <w:pPr>
        <w:spacing w:line="480" w:lineRule="auto"/>
        <w:ind w:firstLine="720"/>
        <w:jc w:val="both"/>
      </w:pPr>
      <w:r>
        <w:t xml:space="preserve">Art.</w:t>
      </w:r>
      <w:r xml:space="preserve">
        <w:t> </w:t>
      </w:r>
      <w:r>
        <w:t xml:space="preserve">17.44.</w:t>
      </w:r>
      <w:r xml:space="preserve">
        <w:t> </w:t>
      </w:r>
      <w:r xml:space="preserve">
        <w:t> </w:t>
      </w:r>
      <w:r>
        <w:t xml:space="preserve">HOME CONFINEMENT, ELECTRONIC MONITORING, [</w:t>
      </w:r>
      <w:r>
        <w:rPr>
          <w:strike/>
        </w:rPr>
        <w:t xml:space="preserve">AND</w:t>
      </w:r>
      <w:r>
        <w:t xml:space="preserve">] DRUG TESTING</w:t>
      </w:r>
      <w:r>
        <w:rPr>
          <w:u w:val="single"/>
        </w:rPr>
        <w:t xml:space="preserve">, OR ALCOHOL MONITORING</w:t>
      </w:r>
      <w:r>
        <w:t xml:space="preserve"> AS CONDITION.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17.44, Code of Criminal Procedure, is amended by amending Subsections (a), (c), and (e)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alcohol monitoring through the use of an alcohol monitoring device other than an ignition interlock device, for a defendant charged with an offense under Section 49.04, 49.045, 49.05, 49.06, 49.065, 49.07, or 49.08, Penal Code</w:t>
      </w:r>
      <w:r>
        <w:t xml:space="preserv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violates a condition of alcohol monitoring or refuses to submit to alcohol monitoring; or</w:t>
      </w:r>
    </w:p>
    <w:p w:rsidR="003F3435" w:rsidRDefault="0032493E">
      <w:pPr>
        <w:spacing w:line="480" w:lineRule="auto"/>
        <w:ind w:firstLine="1440"/>
        <w:jc w:val="both"/>
      </w:pPr>
      <w:r>
        <w:rPr>
          <w:u w:val="single"/>
        </w:rPr>
        <w:t xml:space="preserve">(4)</w:t>
      </w:r>
      <w:r xml:space="preserve">
        <w:t> </w:t>
      </w:r>
      <w:r xml:space="preserve">
        <w:t> </w:t>
      </w:r>
      <w:r>
        <w:t xml:space="preserve">fails to pay the reimbursement fee for </w:t>
      </w:r>
      <w:r>
        <w:rPr>
          <w:u w:val="single"/>
        </w:rPr>
        <w:t xml:space="preserve">electronic</w:t>
      </w:r>
      <w:r>
        <w:t xml:space="preserve"> monitoring</w:t>
      </w:r>
      <w:r>
        <w:rPr>
          <w:u w:val="single"/>
        </w:rPr>
        <w:t xml:space="preserve">,</w:t>
      </w:r>
      <w:r>
        <w:t xml:space="preserve"> [</w:t>
      </w:r>
      <w:r>
        <w:rPr>
          <w:strike/>
        </w:rPr>
        <w:t xml:space="preserve">or</w:t>
      </w:r>
      <w:r>
        <w:t xml:space="preserve">] testing for controlled substances, </w:t>
      </w:r>
      <w:r>
        <w:rPr>
          <w:u w:val="single"/>
        </w:rPr>
        <w:t xml:space="preserve">or alcohol monitoring,</w:t>
      </w:r>
      <w:r>
        <w:t xml:space="preserve">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(e)</w:t>
      </w:r>
      <w:r xml:space="preserve">
        <w:t> </w:t>
      </w:r>
      <w:r xml:space="preserve">
        <w:t> </w:t>
      </w:r>
      <w:r>
        <w:t xml:space="preserve">The cost of electronic monitoring</w:t>
      </w:r>
      <w:r>
        <w:rPr>
          <w:u w:val="single"/>
        </w:rPr>
        <w:t xml:space="preserve">,</w:t>
      </w:r>
      <w:r>
        <w:t xml:space="preserve"> [</w:t>
      </w:r>
      <w:r>
        <w:rPr>
          <w:strike/>
        </w:rPr>
        <w:t xml:space="preserve">or</w:t>
      </w:r>
      <w:r>
        <w:t xml:space="preserve">] testing for controlled substances</w:t>
      </w:r>
      <w:r>
        <w:rPr>
          <w:u w:val="single"/>
        </w:rPr>
        <w:t xml:space="preserve">, or alcohol monitoring</w:t>
      </w:r>
      <w:r>
        <w:t xml:space="preserve"> under this article may be assessed as a reimbursement fee or ordered paid directly by the defendant as a condition of bond.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magistrate that requires the defendant to submit to alcohol monitoring under Subsection (a)(3) as a condition of bond or modifies the conditions of bond imposing the requirement or the county clerk of the county in which the magistrate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alcohol monitoring requirement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defendant required to submit to alcohol monitoring as a condition of bond is convicted, placed on deferred adjudication community supervision, or acquitted, or if the charges with respect to the defendant are dismissed, the applicable court or the county clerk of the county in which the applicable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17.441, Code of Criminal Procedure,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that restricts a defendant to the operation of a motor vehicle equipped with an ignition interlock device under Subsection (a) or modifies the conditions of bond imposing the restriction or the county clerk of the county in which the magistrate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for conditions of bond imposing the restriction or the order for modification of the conditions of bond,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restricted to the operation of a motor vehicle equipped with an ignition interlock device as a condition of bond is convicted, placed on deferred adjudication community supervision, or acquitted, or if the charges with respect to the defendant are dismissed, the applicable court or the county clerk of the county in which the applicable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applicable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21, Code of Criminal Procedure, is amended by adding Article 21.32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21.32.</w:t>
      </w:r>
      <w:r>
        <w:rPr>
          <w:u w:val="single"/>
        </w:rPr>
        <w:t xml:space="preserve"> </w:t>
      </w:r>
      <w:r>
        <w:rPr>
          <w:u w:val="single"/>
        </w:rPr>
        <w:t xml:space="preserve"> </w:t>
      </w:r>
      <w:r>
        <w:rPr>
          <w:u w:val="single"/>
        </w:rPr>
        <w:t xml:space="preserve">SUBMISSION TO CENTRAL DATABASE CONCERNING IGNITION INTERLOCK DEVICE OR ALCOHOL MONITORING CONDITION.  A court on receiving an indictment or information alleging an offense for which the person was, as a condition of bond, restricted to the operation of a motor vehicle equipped with an ignition interlock device under Article 17.441 or required to submit to alcohol monitoring under Article 17.44(a)(3) or the county clerk of the county in which the court is located shall submit to the Department of Public Safety for inclusion in the central database maintained by the department under Section 411.02091, Government Code, a statement indicating: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defendant remains subject to the restriction or requirement,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42, Code of Criminal Procedure, is amended by adding Article 42.0184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42.0184.</w:t>
      </w:r>
      <w:r>
        <w:rPr>
          <w:u w:val="single"/>
        </w:rPr>
        <w:t xml:space="preserve"> </w:t>
      </w:r>
      <w:r>
        <w:rPr>
          <w:u w:val="single"/>
        </w:rPr>
        <w:t xml:space="preserve"> </w:t>
      </w:r>
      <w:r>
        <w:rPr>
          <w:u w:val="single"/>
        </w:rPr>
        <w:t xml:space="preserve">NOTICE OF CERTAIN INTOXICATION OFFENSES PROVIDED BY CLERK OF COURT.  (a)  If a defendant is convicted of an offense under Section 49.04, 49.045, 49.05, 49.06, 49.065, 49.07, or 49.08, Penal Code, the court in which the conviction is entered shall determine whether as a condition of bond the defendant was previously: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operation of a motor vehicle equipped with an ignition interlock device;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a defendant is convicted of an offense under Section 49.04, 49.045, 49.05, 49.06, 49.065, 49.07, or 49.08, Penal Code, the clerk of the court in which the conviction is entered or the county clerk of the county in which the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of conviction;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as a condition of community supervision or as otherwise ordered by the court as a result of the conviction,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restricted to the operation of a motor vehicle equipped with an ignition interlock device;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required to submit to alcohol monitoring through the use of an alcohol monitoring device other than an ignition interlock device.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42A.408,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 that restricts a defendant to the operation of a motor vehicle equipped with an ignition interlock device under this article as a condition of community supervision or modifies the order imposing the restriction as a condition of community supervision or the county clerk of the county in which the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as a condition of community supervision or the order for modification of the conditions of community supervision,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I, Chapter 42A, Code of Criminal Procedure, is amended by adding Article 42A.4085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42A.4085.</w:t>
      </w:r>
      <w:r>
        <w:rPr>
          <w:u w:val="single"/>
        </w:rPr>
        <w:t xml:space="preserve"> </w:t>
      </w:r>
      <w:r>
        <w:rPr>
          <w:u w:val="single"/>
        </w:rPr>
        <w:t xml:space="preserve"> </w:t>
      </w:r>
      <w:r>
        <w:rPr>
          <w:u w:val="single"/>
        </w:rPr>
        <w:t xml:space="preserve">ALCOHOL MONITORING AS CONDITION OF COMMUNITY SUPERVISION; SUBMISSION TO CENTRAL DATABASE.  (a)  A judge requiring the defendant as a condition of community supervision to submit to alcohol monitoring through the use of an alcohol monitoring device other than an ignition interlock device or modifying an order requiring alcohol monitoring or the county clerk of the county in which the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alcohol monitoring as a condition of community supervision or the order modifying the conditions of community supervision, as applicable;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requirement for alcohol monitoring expires.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does not apply to an order restricting a defendant to operation of a motor vehicle equipped with an ignition interlock device under Article 42A.408.</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411, Government Code, is amended by adding Section 411.02091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411.02091.</w:t>
      </w:r>
      <w:r>
        <w:rPr>
          <w:u w:val="single"/>
        </w:rPr>
        <w:t xml:space="preserve"> </w:t>
      </w:r>
      <w:r>
        <w:rPr>
          <w:u w:val="single"/>
        </w:rPr>
        <w:t xml:space="preserve"> </w:t>
      </w:r>
      <w:r>
        <w:rPr>
          <w:u w:val="single"/>
        </w:rPr>
        <w:t xml:space="preserve">CENTRAL DATABASE OF DEFENDANTS RESTRICTED TO USE OF MOTOR VEHICLE EQUIPPED WITH IGNITION INTERLOCK DEVICE OR REQUIRED TO SUBMIT TO OTHER ALCOHOL MONITORING.  (a)  The department shall maintain a computerized central database containing information regarding defendants who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restricted to the use of a motor vehicle equipped with an ignition interlock device under Article 17.441 or 42A.408, Code of Criminal Procedure, Section 49.09(h), Penal Code, or Section 521.246,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under Article 17.44(a)(3), Code of Criminal Procedure, or Chapter 42A of that code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defendant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driver's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date each restriction or requirement expires.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a defendant's name from the central database under this section on the expiration of the ignition interlock restriction or alcohol monitoring requirement for that defendant or on other notification that the restriction or requirement has been terminated.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central database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information in a format that allows a law enforcement agency to make the information available to a peace officer through a mobile data terminal;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reflect any updated information, including modifications to a court's order, as necessary to ensure a defendant whose ignition interlock restriction or alcohol monitoring requirement has expired or been terminated is not indicated through the mobile data terminal as a person who is restricted to the operation of a motor vehicle equipped with an ignition interlock device or required to submit to alcohol monitoring through the use of an alcohol monitoring device other than an ignition interlock device.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lieu of creating a separate central database under this section, the department may comply with this section by incorporating the information regarding the defendant into an existing database or electronic record system maintained by the department, including by adding the information to the defendant's driver's license record, provided that the existing database or system meets the requirements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a report under Article 2.33, Code of Criminal Procedure, the department shall consult the database to determine whether the person is subject to an ignition interlock restriction or an alcohol monitoring requirement. </w:t>
      </w:r>
      <w:r>
        <w:rPr>
          <w:u w:val="single"/>
        </w:rPr>
        <w:t xml:space="preserve"> </w:t>
      </w:r>
      <w:r>
        <w:rPr>
          <w:u w:val="single"/>
        </w:rPr>
        <w:t xml:space="preserve">If the department determines that the person is subject to a restriction or requirement, the department shall notify the court that imposed the restriction or requirement of the suspected violation.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509.004(a),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a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49.09(h), Penal Code, is amended to read as follows:</w:t>
      </w:r>
    </w:p>
    <w:p w:rsidR="003F3435" w:rsidRDefault="0032493E">
      <w:pPr>
        <w:spacing w:line="480" w:lineRule="auto"/>
        <w:ind w:firstLine="720"/>
        <w:jc w:val="both"/>
      </w:pPr>
      <w:r>
        <w:t xml:space="preserve">(h)</w:t>
      </w:r>
      <w:r xml:space="preserve">
        <w:t> </w:t>
      </w:r>
      <w:r xml:space="preserve">
        <w:t> </w:t>
      </w:r>
      <w:r>
        <w:t xml:space="preserve">This subsection applies only to a person convicted of a second or subsequent offense relating to the operating of a motor vehicle while intoxicated committed within five years of the date on which the most recent preceding offense was committed.  The court shall enter an order that requires the defendant to have </w:t>
      </w:r>
      <w:r>
        <w:rPr>
          <w:u w:val="single"/>
        </w:rPr>
        <w:t xml:space="preserve">an ignition interlock</w:t>
      </w:r>
      <w:r>
        <w:t xml:space="preserve"> [</w:t>
      </w:r>
      <w:r>
        <w:rPr>
          <w:strike/>
        </w:rPr>
        <w:t xml:space="preserve">a</w:t>
      </w:r>
      <w:r>
        <w:t xml:space="preserve">] device installed, on each motor vehicle owned or operated by the defendant, that uses a deep-lung breath analysis mechanism to make impractical the operation of the motor vehicle if ethyl alcohol is detected in the breath of the operator, and that requires that before the first anniversary of the ending date of the period of license suspension under Section 521.344, Transportation Code, the defendant not operate any motor vehicle that is not equipped with </w:t>
      </w:r>
      <w:r>
        <w:rPr>
          <w:u w:val="single"/>
        </w:rPr>
        <w:t xml:space="preserve">an ignition interlock</w:t>
      </w:r>
      <w:r>
        <w:t xml:space="preserve"> [</w:t>
      </w:r>
      <w:r>
        <w:rPr>
          <w:strike/>
        </w:rPr>
        <w:t xml:space="preserve">that</w:t>
      </w:r>
      <w:r>
        <w:t xml:space="preserve">] device.  The court shall require the defendant to obtain the </w:t>
      </w:r>
      <w:r>
        <w:rPr>
          <w:u w:val="single"/>
        </w:rPr>
        <w:t xml:space="preserve">ignition interlock</w:t>
      </w:r>
      <w:r>
        <w:t xml:space="preserve"> device at the defendant's own cost on or before that ending date, require the defendant to provide evidence to the court on or before that ending date that the </w:t>
      </w:r>
      <w:r>
        <w:rPr>
          <w:u w:val="single"/>
        </w:rPr>
        <w:t xml:space="preserve">ignition interlock</w:t>
      </w:r>
      <w:r>
        <w:t xml:space="preserve"> device has been installed on each appropriate vehicle, and order the </w:t>
      </w:r>
      <w:r>
        <w:rPr>
          <w:u w:val="single"/>
        </w:rPr>
        <w:t xml:space="preserve">ignition interlock</w:t>
      </w:r>
      <w:r>
        <w:t xml:space="preserve"> device to remain installed on each vehicle until the first anniversary of that ending date.  If the court determines the offender is unable to pay for the </w:t>
      </w:r>
      <w:r>
        <w:rPr>
          <w:u w:val="single"/>
        </w:rPr>
        <w:t xml:space="preserve">ignition interlock</w:t>
      </w:r>
      <w:r>
        <w:t xml:space="preserve"> device, the court may impose a reasonable payment schedule not to extend beyond the first anniversary of the date of installation.  The Department of Public Safety shall approve </w:t>
      </w:r>
      <w:r>
        <w:rPr>
          <w:u w:val="single"/>
        </w:rPr>
        <w:t xml:space="preserve">ignition interlock</w:t>
      </w:r>
      <w:r>
        <w:t xml:space="preserve"> devices for use under this subsection.  Section 521.247, Transportation Code, applies to the approval of </w:t>
      </w:r>
      <w:r>
        <w:rPr>
          <w:u w:val="single"/>
        </w:rPr>
        <w:t xml:space="preserve">an ignition interlock</w:t>
      </w:r>
      <w:r>
        <w:t xml:space="preserve"> [</w:t>
      </w:r>
      <w:r>
        <w:rPr>
          <w:strike/>
        </w:rPr>
        <w:t xml:space="preserve">a</w:t>
      </w:r>
      <w:r>
        <w:t xml:space="preserve">] device under this subsection and the consequences of that approval.  Failure to comply with an order entered under this subsection is punishable by contempt.  For the purpose of enforcing this subsection, the court that enters an order under this subsection retains jurisdiction over the defendant until the date on which the </w:t>
      </w:r>
      <w:r>
        <w:rPr>
          <w:u w:val="single"/>
        </w:rPr>
        <w:t xml:space="preserve">ignition interlock</w:t>
      </w:r>
      <w:r>
        <w:t xml:space="preserve"> device is no longer required to remain installed.  </w:t>
      </w:r>
      <w:r>
        <w:rPr>
          <w:u w:val="single"/>
        </w:rPr>
        <w:t xml:space="preserve">A court that restricts a defendant to the operation of a motor vehicle equipped with an ignition interlock device under this subsection or the county clerk of the county in which the court is located shall submit to the Department of Public Safety for inclusion in the central database maintained by the department under Section 411.02091, Government Code, a copy of the order imposing the restriction, the defendant's name, the defendant's date of birth, the defendant's driver's license number, and, if applicable, the date the restriction expires.</w:t>
      </w:r>
      <w:r>
        <w:t xml:space="preserve">  To the extent of a conflict between this subsection and Subchapter I, Chapter 42A, Code of Criminal Procedure, this subsection controls.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521.246, Transportation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judge that restricts a person to the operation of a motor vehicle equipped with an ignition interlock device under Subsection (a) or modifies the order imposing the restriction or the county clerk of the county in which the court is located shall submit to the Department of Public Safety for inclusion in the central database maintained by the department under Section 411.02091,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order imposing the restriction or the order for modification,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name, date of birth, and driver's license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date the restriction expires.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Department of Public Safety of the State of Texas shall design and implement the central database required by Section 411.02091, Government Code, as added by this Act, not later than January 1, 2022.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peace officer is not required to make a report under Article 2.33, Code of Criminal Procedure, as added by this Act, before January 1, 2022.</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Articles 17.44, 17.441, and 42A.408, Code of Criminal Procedure, Section 49.09, Penal Code, and Section 521.246, Transportation Code, as amended by this Act, apply only to a magistrate, court, or judge that orders that a defendant be restricted to the operation of a motor vehicle equipped with an ignition interlock device or requires a defendant to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21.32, Code of Criminal Procedure, as added by this Act, applies only to an indictment or information provided under that article on or after January 1, 2022.  An indictment or information provided under that article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Articles 42.0184 and 42A.4085, Code of Criminal Procedure, as added by this Act, apply only to a magistrate, court, or judge that orders that a defendant be restricted to the operation of a motor vehicle equipped with an ignition interlock device or requires a defendant submit to alcohol monitoring through the use of an alcohol monitoring device other than an ignition interlock device on or after January 1, 2022.  A restriction or requirement ordered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509.004(a), Government Code, as amended by this Act, applies only to a restriction that is imposed on or after January 1, 2022.  A restriction imposed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