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87R6098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certain business and occupational licensing information on state agency websites and the Texas Veterans Portal.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rPr>
          <w:u w:val="single"/>
        </w:rPr>
        <w:t xml:space="preserve">(a)</w:t>
      </w:r>
      <w:r>
        <w:t xml:space="preserve">  A state agency that issues a license shall [</w:t>
      </w:r>
      <w:r>
        <w:rPr>
          <w:strike/>
        </w:rPr>
        <w:t xml:space="preserve">prominently</w:t>
      </w:r>
      <w:r>
        <w:t xml:space="preserve">] post [</w:t>
      </w:r>
      <w:r>
        <w:rPr>
          <w:strike/>
        </w:rPr>
        <w:t xml:space="preserve">a notice</w:t>
      </w:r>
      <w:r>
        <w:t xml:space="preserve">] on the [</w:t>
      </w:r>
      <w:r>
        <w:rPr>
          <w:strike/>
        </w:rPr>
        <w:t xml:space="preserve">home page of the</w:t>
      </w:r>
      <w:r>
        <w:t xml:space="preserve">] agency's Internet website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licenses issued by the agency with a description of the type of business or occupation covered by each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r>
        <w:t xml:space="preserve"> [</w:t>
      </w:r>
      <w:r>
        <w:rPr>
          <w:strike/>
        </w:rPr>
        <w:t xml:space="preserve">describing</w:t>
      </w:r>
      <w:r>
        <w:t xml:space="preserve">]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post the information required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prominently on the home page of the agency's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single page of the agency's Internet website with a prominent link to that page on the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issues a license shall provide to the Texas Veterans Commission a direct link to the information required by Subsection (a).  The Texas Veterans Commission shall post the links on a single page of the veterans website maintained under Section 434.102, Government Code, that is known as the Texas Veterans Portal.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1, 2021, a state agency shall post on the agency's Internet website the information required by Section 55.010, Occupations Code, as amended by this Act, and provide to the Texas Veterans Commission the links required by that section.</w:t>
      </w:r>
    </w:p>
    <w:p w:rsidR="003F3435" w:rsidRDefault="0032493E">
      <w:pPr>
        <w:spacing w:line="480" w:lineRule="auto"/>
        <w:ind w:firstLine="720"/>
        <w:jc w:val="both"/>
      </w:pPr>
      <w:r>
        <w:t xml:space="preserve">(b)</w:t>
      </w:r>
      <w:r xml:space="preserve">
        <w:t> </w:t>
      </w:r>
      <w:r xml:space="preserve">
        <w:t> </w:t>
      </w:r>
      <w:r>
        <w:t xml:space="preserve">Not later than January 1, 2022, the Texas Veterans Commission shall post on the Texas Veterans Portal the information required by Section 55.010(c),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