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87R2934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of certain employees who transfer within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659, Government Code, is amended by adding Section 659.2532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659.2532.</w:t>
      </w:r>
      <w:r>
        <w:rPr>
          <w:u w:val="single"/>
        </w:rPr>
        <w:t xml:space="preserve"> </w:t>
      </w:r>
      <w:r>
        <w:rPr>
          <w:u w:val="single"/>
        </w:rPr>
        <w:t xml:space="preserve"> </w:t>
      </w:r>
      <w:r>
        <w:rPr>
          <w:u w:val="single"/>
        </w:rPr>
        <w:t xml:space="preserve">TRANSFER WITHIN AGENCY BETWEEN CLASSIFIED POSITIONS WITH SAME POSITION TITLE WHEN EMPLOYEE IS COMPETITIVELY SELECTED.  (a)  In this section, "classified position" means a position classified under the state's position classification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employee's annual salary rate immediately after a transfer may be set at any rate in the appropriate salary group if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within a state agency between two classified positions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allocated to the same salary group;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the same position title as listed in the General Appropriations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transfers to a position for which the employment opening is publicly listed in accordance with Chapter 656;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voluntarily applies for the position to which the employee transfers;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agrees to accept the position to which the employee transfers at the publicly listed salary.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659.2532, Government Code, as added by this Act, applies only to a transfer of position that takes effect on or after September 1, 2021.  A transfer of position that takes effect before September 1, 2021, is governed by the law in effect on the effective date of the transfer,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