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Pacheco</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2743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11,</w:t>
      </w:r>
      <w:r xml:space="preserve">
        <w:t> </w:t>
      </w:r>
      <w:r>
        <w:t xml:space="preserve">2021, read first time and referred to Committee on Business &amp; Commerce; May</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salary of certain employees who transfer within a state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659, Government Code, is amended by adding Section 659.2532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659.2532.</w:t>
      </w:r>
      <w:r>
        <w:rPr>
          <w:u w:val="single"/>
        </w:rPr>
        <w:t xml:space="preserve"> </w:t>
      </w:r>
      <w:r>
        <w:rPr>
          <w:u w:val="single"/>
        </w:rPr>
        <w:t xml:space="preserve"> </w:t>
      </w:r>
      <w:r>
        <w:rPr>
          <w:u w:val="single"/>
        </w:rPr>
        <w:t xml:space="preserve">TRANSFER WITHIN AGENCY BETWEEN CLASSIFIED POSITIONS WITH SAME POSITION TITLE WHEN EMPLOYEE IS COMPETITIVELY SELECTED.  (a)  In this section, "classified position" means a position classified under the state's position classification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employee's annual salary rate immediately after a transfer may be set at any rate in the appropriate salary group if the employee: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transfers within a state agency between two classified positions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allocated to the same salary group;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the same position title as listed in the General Appropriations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transfers to a position for which the employment opening is publicly listed in accordance with Chapter 656;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voluntarily applies for the position to which the employee transfers;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agrees to accept the position to which the employee transfers at the publicly listed salary.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659.2532, Government Code, as added by this Act, applies only to a transfer of position that takes effect on or after September 1, 2021.  A transfer of position that takes effect before September 1, 2021, is governed by the law in effect on the effective date of the transfer,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