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87R3442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small and mid-sized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12.106, Education Code, is amended by amending Subsection (a-2) and adding Subsection (a-5)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(a-5) and in</w:t>
      </w:r>
      <w:r>
        <w:t xml:space="preserve"> [</w:t>
      </w:r>
      <w:r>
        <w:rPr>
          <w:strike/>
        </w:rPr>
        <w:t xml:space="preserve">In</w:t>
      </w:r>
      <w:r>
        <w:t xml:space="preserve">] addition to the funding provided by Subsection (a), a charter holder is entitled to receive for the open-enrollment charter school an allotment per student in average daily attendance in an amount equal to </w:t>
      </w:r>
      <w:r>
        <w:rPr>
          <w:u w:val="single"/>
        </w:rPr>
        <w:t xml:space="preserve">the lesser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difference between: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product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quotient of: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amount of funding provided to eligible school districts under Section 48.101(b) or (c); 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 the sum of one and the quotient of: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statewide;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$125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average allotment per student in average daily attendance under Section 48.101 for the school districts in the county in which the student resides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(a-2), the amount of the allotment per student in average daily attendance to which a charter holder is entitled to receive for an open-enrollment charter school under that subsection is an amount equal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half of the amount computed under that subsection if the school has at least 1,601 but not more than 5,000 students in average daily attendance;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zero if the school has more than 5,000 students in average daily attendance.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