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2746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use of laser pointers;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42.13, Penal Code,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r>
        <w:rPr>
          <w:u w:val="single"/>
        </w:rPr>
        <w:t xml:space="preserve">, except that the offense is a felony of the third degree if the conduct causes serious bodily injury to the officer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this section that at the time of the offense the actor was discharging the actor's duties as a lighting technician at a venue which produces or hosts events involving laser pointers, including a concert or similar event.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