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87R8339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2747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participating in a riot.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42.02(e), Penal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in Subsection (f), an offense under this section is a </w:t>
      </w:r>
      <w:r>
        <w:rPr>
          <w:u w:val="single"/>
        </w:rPr>
        <w:t xml:space="preserve">state jail felony</w:t>
      </w:r>
      <w:r>
        <w:t xml:space="preserve"> [</w:t>
      </w:r>
      <w:r>
        <w:rPr>
          <w:strike/>
        </w:rPr>
        <w:t xml:space="preserve">Class B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