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87R13231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2748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2748:</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2748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reenacted and amended by Chapters 102 (S.B. 636), 163 (H.B. 695), 169 (H.B. 917), and 467 (H.B. 4170),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w:t>
      </w:r>
      <w:r>
        <w:rPr>
          <w:u w:val="single"/>
        </w:rPr>
        <w:t xml:space="preserve">32,000</w:t>
      </w:r>
      <w:r>
        <w:t xml:space="preserve"> </w:t>
      </w:r>
      <w:r>
        <w:t xml:space="preserve">[</w:t>
      </w:r>
      <w:r>
        <w:rPr>
          <w:strike/>
        </w:rPr>
        <w:t xml:space="preserve">18,000</w:t>
      </w:r>
      <w:r>
        <w:t xml:space="preserve">] and </w:t>
      </w:r>
      <w:r>
        <w:rPr>
          <w:u w:val="single"/>
        </w:rPr>
        <w:t xml:space="preserve">50,000</w:t>
      </w:r>
      <w:r>
        <w:t xml:space="preserve"> </w:t>
      </w:r>
      <w:r>
        <w:t xml:space="preserve">[</w:t>
      </w:r>
      <w:r>
        <w:rPr>
          <w:strike/>
        </w:rPr>
        <w:t xml:space="preserve">18,500</w:t>
      </w:r>
      <w:r>
        <w:t xml:space="preserve">]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250,000</w:t>
      </w:r>
      <w:r>
        <w:t xml:space="preserve"> [</w:t>
      </w:r>
      <w:r>
        <w:rPr>
          <w:strike/>
        </w:rPr>
        <w:t xml:space="preserve">200,000</w:t>
      </w:r>
      <w:r>
        <w:t xml:space="preserve">];</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(13)</w:t>
      </w:r>
      <w:r>
        <w:t xml:space="preserve">]</w:t>
      </w:r>
      <w:r xml:space="preserve">
        <w:t> </w:t>
      </w:r>
      <w:r xml:space="preserve">
        <w:t> </w:t>
      </w:r>
      <w:r>
        <w:t xml:space="preserve">a municipality with a population between 14,000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