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87R8982 DRS-F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activities from regulation as a structural pest control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1951, Occupations Code, is amended by adding Section 1951.060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1951.060.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NUISANCE BIRDS.  (a) This chapter does not apply to a person who for compensation performs, offers to perform, or advertises for or solicits the person's performance of activities to control nuisance birds through the use of laser lights, noise-emitting devices, or recorded sounds operating at a volume that complies with any applicable municipal or county noise ordinance, order, or rule.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or authorize the use of any: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device to kill, harm, trap, or collect live nuisance birds;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chemical;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explosive device;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device emitting noise in excess of an applicable municipal or county noise ordinance, order, or rule;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activity involving a risk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harm to a person, animal, or property;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damage to the environment.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