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87R11114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administrative segregation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LIMITATION ON USE OF ADMINISTRATIVE SEGREGATION.  (a)  In this section, "serious bodily injury" has the meaning assigned by Section 1.07, Penal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may not confine an inmate in administrative segregation for more than three consecutive days based on misconduct by the inmate.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confine an inmate in administrative segregation for not more than 10 consecutive days for engaging in conduct that resulted in serious bodily injury to another person.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