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health benefit coverage for general anesthesia in connection with certain pediatric dental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>
        <w:t xml:space="preserve">Chapter 1367, Insurance Code, is amended by adding Subchapter G to read as follows:</w:t>
      </w:r>
      <w:r xml:space="preserve">
        <w:t> 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G.  PEDI</w:t>
      </w:r>
      <w:r>
        <w:rPr>
          <w:u w:val="single"/>
        </w:rPr>
        <w:t xml:space="preserve">ATRIC DENTISTRY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1367.301.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insurance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 basic coverage under Chapter 1601;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benefits provided by or through a church benefits board under Subchapter I, Chapter 22, Business Organizations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or local health care program operated under Section 75.104,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self-funded health benefit plan sponsored by a professional employer organization under Chapter 91, Labor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applies to coverage under a group health benefit plan described by Subsection (a) provided to a resident of this state, regardless of whether the group policy, agreement, or contract is delivered, issued for delivery, or renewed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1367.302.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FOR GENERAL ANESTHESIA.  A health benefit plan that provides coverage for general anesthesia may not exclude from coverage general anesthesia services in connection with dental services provided to a covered individual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younger than 18 years of age;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undergo the dental service in an office setting due to a documented physical, mental, or medical reason determined by the individual's physician or by the dentist providing the dental care.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1367.303.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NOT REQUIRED.  This subchapter does not require a health benefit plan to provide coverage for dental care or procedures.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1367, Insurance Code, as added by this Act, applies only to a health benefit plan that is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