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87R10994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governing body of the independent organization certified to manage the ERCOT power region.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39.151, Utilities Code, is amended by adding Subsections (g-2) and (g-3)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qualify to serve as a member of the governing body under Subsection (g)(4), (5), (6), or (7), a person must be a resident of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maintain certification as an independent organization under this section, an organization's chief executive officer must be a resident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