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87R10985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Rogers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to be a candidate for, or elected or appointed to, a public elective office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141.001(a),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be eligible to be a candidate for, or elected or appointed to, a public elective office in this state, a person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a United States citizen;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 18 years of age or older on the first day of the term to be filled at the election or on the date of appointment, as applicable;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have not been determined by a final judgment of a court exercising probate jurisdiction to be: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totally mentally incapacitated;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partially mentally incapacitated without the right to vote;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have not been finally convicted of a felony from which the person has not been pardoned or otherwise released from the resulting disabilities;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have resided continuously in the state for 12 months and in the territory from which the office is elected for six months immediately preceding the following date: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a candidate whose name is to appear on a general primary election ballot, the date of the regular filing deadline for a candidate's application for a place on the ballot;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an independent candidate, the date of the regular filing deadline for a candidate's application for a place on the ballot;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for a write-in candidate, the date of the election at which the candidate's name is written in;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for a party nominee who is nominated by any method other than by primary election, the date the nomination is made;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for an appointee to an office, the date the appointment is made;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on the date described by Subdivision (5), be registered to vote in the territory from which the office is elected;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satisfy any other eligibility requirements prescribed by law for the office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have paid all child support due and payable by the person unless: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has made all due payments under a payment plan;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child support due is being contested or negotiated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