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2767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equity gap in the accessibility of dual credit courses to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28.0091.</w:t>
      </w:r>
      <w:r>
        <w:rPr>
          <w:u w:val="single"/>
        </w:rPr>
        <w:t xml:space="preserve"> </w:t>
      </w:r>
      <w:r>
        <w:rPr>
          <w:u w:val="single"/>
        </w:rPr>
        <w:t xml:space="preserve"> </w:t>
      </w:r>
      <w:r>
        <w:rPr>
          <w:u w:val="single"/>
        </w:rPr>
        <w:t xml:space="preserve">STUDY ON EQUITY GAP IN DUAL CREDIT COURSES.  (a)  In this section, "coordinating board" means the Texas Higher Education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with assistance from the coordinating board, shall conduct a study on the accessibility of dual credit courses to educationally disadvantaged high school students enrolled at a school district in a rural area of the state and any resulting adverse impacts on the accessibility of higher education to those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must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types of dual credit courses for which an additional weight is given for purposes of computing a student's high school grade point average;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sources of funding for dual credit courses and the amount funded by each source, disaggregated by school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students who do not enroll in dual credit courses because of an inability to pay the costs associated with those courses, disaggregated by the peer group of the public junior college district, as identified by the coordinating board, within whose service area the students reside;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educationally disadvantaged students who graduate in the top 10 percent of the students' high school graduating class, disaggregated by the peer group of the public junior college district, as identified by the coordinating board, within whose service area the students reside;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deemed relevant by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2022, the agency, with the assistance of the coordinating board, shall prepare and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