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prices of fruits and vegetables during a declared disaster;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PRICING OF FRUITS AND VEGETABLES DURING DECLARED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disaster declared by the president of the United States, if any part of this state is named in the federally designated disaster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 of disaster declared by the governor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local state of disaster declared by the presiding officer of the governing body of a political subdivision under Section 418.108,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period" means the period during which an area of this state is subject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of a state of disaster under Section 418.014 or 418.108,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declaration of the disaster by the president of the United States described by Subdivision (1)(A).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"Fruit or vegetable" includes any variety of fresh, canned, dried, or frozen whole or cut fruits or vegetables.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PRICES CONSIDERED EXORBITANT OR EXCESSIVE.  For purposes of this chapter, the price of a fruit or vegetable is considered exorbitant or excessive if the price, when compared with the price of the fruit or vegetable on the seventh day before a declared disaster begins, has increased by 100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EXORBITANT OR EXCESSIVE PRICES PROHIBITED DURING DECLARED DISASTER PERIOD; OFFENSE.  (a)  A merchant may not, in any area of this state subject to the disaster declaration, take any of the following actions during a declared disaster period with the intent to take advantage of the disaster: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 fruit or vegetable at an exorbitant or excessive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 an exorbitant or excessive price for a fruit or vegetable.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violates this section commits an offense.  Each day a violation continues constitutes a separate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violation of this chapter constitutes a separate violation from any violation of Section 17.46(b)(27).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