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dismissal of the department head of a police department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143, Local Government Code, is amended by adding Section 143.0131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143.0131.</w:t>
      </w:r>
      <w:r>
        <w:rPr>
          <w:u w:val="single"/>
        </w:rPr>
        <w:t xml:space="preserve"> </w:t>
      </w:r>
      <w:r>
        <w:rPr>
          <w:u w:val="single"/>
        </w:rPr>
        <w:t xml:space="preserve"> </w:t>
      </w:r>
      <w:r>
        <w:rPr>
          <w:u w:val="single"/>
        </w:rPr>
        <w:t xml:space="preserve">DISMISSAL OF DEPARTMENT HEAD OF CERTAIN POLICE DEPARTMENTS.  (a) This section applies only to a  municipality that has a population of more than 950,000.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municipality's chief executive may dismiss the head of the police department from the department for any or no reason.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head of a police department dismissed under this section is not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or rights of seniority under Section 143.013(c);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under Section 143.013(d).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dismissal made on or after the effective date of this Act. A dismissal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