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87R5422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2775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service provided by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Utilities Code, is amended by adding Subchapter D to read as follows:</w:t>
      </w:r>
    </w:p>
    <w:p w:rsidR="003F3435" w:rsidRDefault="0032493E">
      <w:pPr>
        <w:spacing w:line="480" w:lineRule="auto"/>
        <w:jc w:val="center"/>
      </w:pPr>
      <w:r>
        <w:rPr>
          <w:u w:val="single"/>
        </w:rPr>
        <w:t xml:space="preserve">SUBCHAPTER D. REVIEW OF RATES OF CERTAIN MUNICIPAL UTILITIES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municipally owned utility that provides service in the Capitol complex, as defined by Section 443.0071,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REVIEW OF RATES; CUSTOMER CHOICE. </w:t>
      </w:r>
      <w:r>
        <w:rPr>
          <w:u w:val="single"/>
        </w:rPr>
        <w:t xml:space="preserve"> </w:t>
      </w:r>
      <w:r>
        <w:rPr>
          <w:u w:val="single"/>
        </w:rPr>
        <w:t xml:space="preserve">(a) </w:t>
      </w:r>
      <w:r>
        <w:rPr>
          <w:u w:val="single"/>
        </w:rPr>
        <w:t xml:space="preserve"> </w:t>
      </w:r>
      <w:r>
        <w:rPr>
          <w:u w:val="single"/>
        </w:rPr>
        <w:t xml:space="preserve">Notwithstanding any other law, a retail customer or group of customers may file a petition for commission review of current or proposed rates of a municipally owned utility that apply to the petitioning customer or group if the customer or group: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non-demand metered total usage of more than 100,000 kilowatt hours per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through a demand meter at secondary or primary voltage.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initiate a proceeding not later than the 90th day after the petition is submitted to determine whether the rates of the municipally owned utility are consistent with the rates available to similarly situated customers in areas of the state that have access to customer choice. If the commission determines that the rates of the municipally owned utility are consistent with the rates available to similarly situated customers in areas of the state that have access to customer choice, the commission shall deny the petition.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deny the petition under Subsection (b), not later than the 90th day after the date of the determination described by Subsection (b), the municipally owned utility shall file a rate application with the commission that complies in all material respects with the rules and forms prescribed by the commission. </w:t>
      </w:r>
      <w:r>
        <w:rPr>
          <w:u w:val="single"/>
        </w:rPr>
        <w:t xml:space="preserve"> </w:t>
      </w:r>
      <w:r>
        <w:rPr>
          <w:u w:val="single"/>
        </w:rPr>
        <w:t xml:space="preserve">The commission for good cause may extend the deadline for filing the rate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conduct a full review of the rates applicable to the petitioning customer or group to determine whether those rates are just and reasonable using the standards prescribed by Chapter 36, notwithstanding the lack of consistency between those rates and rates available to similarly situated customers in areas of the state that have access to customer choice. If the commission determines that the rates are just and reasonable, the commission shall deny the petition. If the commission determines that the rates are not just and reasonable, the commission shall set rates for the petitioning customer or group that are just, reasonable, and consistent with the rates available to similarly situated customers in areas of the state that have access to customer choice.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Subchapter D, Chapter 32, subject to Section 40.051(c); and</w:t>
      </w:r>
    </w:p>
    <w:p w:rsidR="003F3435" w:rsidRDefault="0032493E">
      <w:pPr>
        <w:spacing w:line="480" w:lineRule="auto"/>
        <w:ind w:firstLine="2160"/>
        <w:jc w:val="both"/>
      </w:pPr>
      <w:r>
        <w:rPr>
          <w:u w:val="single"/>
        </w:rPr>
        <w:t xml:space="preserve">(B)</w:t>
      </w:r>
      <w:r xml:space="preserve">
        <w:t> </w:t>
      </w:r>
      <w:r xml:space="preserve">
        <w:t> </w:t>
      </w:r>
      <w:r>
        <w:t xml:space="preserve">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to administer the renewable energy credits program under Section 39.904(b) and the natural gas energy credits program under Section 39.9044(b);</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 and</w:t>
      </w:r>
    </w:p>
    <w:p w:rsidR="003F3435" w:rsidRDefault="0032493E">
      <w:pPr>
        <w:spacing w:line="480" w:lineRule="auto"/>
        <w:ind w:firstLine="1440"/>
        <w:jc w:val="both"/>
      </w:pPr>
      <w:r>
        <w:t xml:space="preserve">(8)</w:t>
      </w:r>
      <w:r xml:space="preserve">
        <w:t> </w:t>
      </w:r>
      <w:r xml:space="preserve">
        <w:t> </w:t>
      </w:r>
      <w:r>
        <w:t xml:space="preserve">to evaluate and monitor the cybersecurity preparedness of a municipally owned utility described by Section 39.1516(a)(3) or (4).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40.051(c), Utilities Code, is amended to read as follows:</w:t>
      </w:r>
    </w:p>
    <w:p w:rsidR="003F3435" w:rsidRDefault="0032493E">
      <w:pPr>
        <w:spacing w:line="480" w:lineRule="auto"/>
        <w:ind w:firstLine="720"/>
        <w:jc w:val="both"/>
      </w:pPr>
      <w:r>
        <w:t xml:space="preserve">(c)</w:t>
      </w:r>
      <w:r xml:space="preserve">
        <w:t> </w:t>
      </w:r>
      <w:r xml:space="preserve">
        <w:t> </w:t>
      </w:r>
      <w:r>
        <w:t xml:space="preserve">After a decision to offer customer choice has been made, </w:t>
      </w:r>
      <w:r>
        <w:rPr>
          <w:u w:val="single"/>
        </w:rPr>
        <w:t xml:space="preserve">Subchapter D, Chapter 32, and</w:t>
      </w:r>
      <w:r>
        <w:t xml:space="preserve"> Subchapters D and E, Chapter 33, do not apply to any action taken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