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87R6498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2779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as a public insurance adjuster of certain persons acting on behalf of an insured for a real or personal property insurance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4102, Insurance Code, is amended by adding Section 4102.0021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4102.0021.</w:t>
      </w:r>
      <w:r>
        <w:rPr>
          <w:u w:val="single"/>
        </w:rPr>
        <w:t xml:space="preserve"> </w:t>
      </w:r>
      <w:r>
        <w:rPr>
          <w:u w:val="single"/>
        </w:rPr>
        <w:t xml:space="preserve"> </w:t>
      </w:r>
      <w:r>
        <w:rPr>
          <w:u w:val="single"/>
        </w:rPr>
        <w:t xml:space="preserve">EXEMPTIONS FOR CERTAIN CONTRACTOR SERVICES OR COMMUNICATIONS.  This chapter does not apply to the following actions by a contractor who has been engaged by an insured to complete work covered under a property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supplement estimates to the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photographs, code documentation, manufacturer specifications, or any other supporting documents to the insurer;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suggesting the insured invoke the appraisal clause in the insured's policy or suggesting the insured hire a public insurance adjuster or attorney in connection with the insured's claim;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conversations with an insurer, or their agent, to clarify the scope of work provided in the written estimate.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