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87R6113 SGM-F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Vasut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2789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charges imposed by a governmental body for providing copies of public information under the public information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552.261, Government Code, is amended by adding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governmental body may not impose a charge under this subchapter for providing a copy of public information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information is a report required to be filed with the governmental body under Subchapter C or D, Chapter 254, Election Code, unless all of those reports filed with the governmental body during the preceding three years are available to the public on the governmental body's Internet website;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governmental body fails to disclose the information on or before the 10th business day after the date of receiving the requestor's written request, unless the governmental body: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sends a written request for clarification under Section 552.222(b);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requests a decision from the attorney general under Section 552.301;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governmental body requests a decision from the attorney general under Section 552.301 and: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governmental body fails to comply with Subsection (d) of that section; or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general determines the requested information must be disclosed.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 request for public information received by a governmental body or officer for public information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2789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