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87R14321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Collier,</w:t>
      </w:r>
      <w:r xml:space="preserve">
        <w:tab wTab="150" tlc="none" cTlc="0"/>
      </w:r>
      <w:r>
        <w:t xml:space="preserve">H.B.</w:t>
      </w:r>
      <w:r xml:space="preserve">
        <w:t> </w:t>
      </w:r>
      <w:r>
        <w:t xml:space="preserve">No.</w:t>
      </w:r>
      <w:r xml:space="preserve">
        <w:t> </w:t>
      </w:r>
      <w:r>
        <w:t xml:space="preserve">2794</w:t>
      </w:r>
    </w:p>
    <w:p w:rsidR="003F3435" w:rsidRDefault="0032493E">
      <w:pPr>
        <w:jc w:val="both"/>
      </w:pPr>
      <w:r xml:space="preserve">
        <w:t> </w:t>
      </w:r>
      <w:r xml:space="preserve">
        <w:t> </w:t>
      </w:r>
      <w:r xml:space="preserve">
        <w:t> </w:t>
      </w:r>
      <w:r xml:space="preserve">
        <w:t> </w:t>
      </w:r>
      <w:r xml:space="preserve">
        <w:t> </w:t>
      </w:r>
      <w:r>
        <w:t xml:space="preserve">A. Johnson of 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2794:</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2794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evidence in prosecutions of trafficking or certain prostitution-related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38.372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38.372.</w:t>
      </w:r>
      <w:r>
        <w:rPr>
          <w:u w:val="single"/>
        </w:rPr>
        <w:t xml:space="preserve"> </w:t>
      </w:r>
      <w:r>
        <w:rPr>
          <w:u w:val="single"/>
        </w:rPr>
        <w:t xml:space="preserve"> </w:t>
      </w:r>
      <w:r>
        <w:rPr>
          <w:u w:val="single"/>
        </w:rPr>
        <w:t xml:space="preserve">EVIDENCE IN PROSECUTION OF TRAFFICKING OR PROSTITUTION-RELATED OFFENSE.  (a) </w:t>
      </w:r>
      <w:r>
        <w:rPr>
          <w:u w:val="single"/>
        </w:rPr>
        <w:t xml:space="preserve"> </w:t>
      </w:r>
      <w:r>
        <w:rPr>
          <w:u w:val="single"/>
        </w:rPr>
        <w:t xml:space="preserve">This article applies to a proceeding in the prosecution of a defendant for an offense, or for an attempt or conspiracy to commit an offense, under any of the following provisions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20A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43.03 (Promotion of Prostitution);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43.04 (Aggravated Promotion of Prostitution);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43.05 (Compelling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prosecution of an offense described by Subsection (a), subject to the Texas Rules of Evidence or other applicable law, the state may offer testimony or other evidence of all relevant facts and circumstances that would assist the trier of fact in determining whether the actor committed the offense described by Subsection (a), including testimony or evidence regarding the nature of the relationship between the actor and the alleged victim.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article does not permit the presentation of character evidence that would otherwise be inadmissible under the Texas Rules of Evidence or other applicable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reputation or opinion evidence of a victim's past sexual behavior;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specific instances of a victim's past sexual behavior.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