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87R18506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2803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commercial landlord's or tenant's remedies regarding certain unlawful activities in a multiunit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makes a report regarding the activity described by Subdivision (1) to a local law enforcement agency with jurisdiction over the unlawful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complaining tenant gives the landlord written notice of the offending tenant's engagement in the unlawful activity,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of the basis for the complaining tenant's reasonable belief that the offending tenant is engaging in the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the report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landlord from pursuing a civil action against a complaining tenant for any amount due under the complaining tenant's lease if, after the landlord investigates the offending tenant, the landlord determines the complaining tenant's belief regarding the unlawful activity, as stated in the written notice under Subsection (b)(3), was not reasonable.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civil action described by Subsection (d), there is a rebuttable presumption that a complaining tenant's belief regarding an offending tenant's engagement in unlawful activity is reasonable if the complaining tenant gave the landlord the notice required by Subsection (b)(3).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