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87R18506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2803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2803:</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commercial landlord's or tenant's remedies regarding certain unlawful activities in a multiunit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prostitution, promotion of prostitution, aggravated promotion of prostitution, or compelling prostitution, as prohibited by the Penal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trafficking of persons as described by Section 20A.02, Penal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applicable local ordinance relating to the licensing or regulation of a massage establishment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RIGHT TO VACATE DUE TO CERTAIN UNLAWFUL ACTIVITIES IN MULTIUNIT COMMERCIAL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"Multiunit commercial property" means a strip mall, shopping center, office building, or other similar commercial property with multiple contiguous or proximate rental units that are owned or managed as a single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"Unlawful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prostitution, promotion of prostitution, aggravated promotion of prostitution, or compelling prostitution, as prohibited under Chapter 43,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trafficking of persons, as prohibited under Section 20A.02,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applicable local ordinance relating to the licensing or regulation of a massage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of a multiunit commercial property is in breach of a lease with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reasonably believes that another tenant in the same multiunit commercial property is engaging in an unlawful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complaining tenant makes a report regarding the activity described by Subdivision (1) to a local law enforcement agency with jurisdiction over the unlawful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complaining tenant gives the landlord written notice of the offending tenant's engagement in the unlawful activity,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of the basis for the complaining tenant's reasonable belief that the offending tenant is engaging in the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 of the report described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landlord does not file a forcible detainer suit against the offending tenant under Section 93.013 before the 30th day after the date the notice is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 provision of the lease to the contrary, if a landlord is in breach of a tenant's lease under Subsection (b),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tenant's rights and obligations under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vacate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liability for future rent and any other sums due under the lease for terminating the lease and vacating the premises before the end of the lease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landlord from pursuing a civil action against a complaining tenant for any amount due under the complaining tenant's lease if, after the landlord investigates the offending tenant, the landlord determines the complaining tenant's belief regarding the unlawful activity, as stated in the written notice under Subsection (b)(3), was not reasonable.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civil action described by Subsection (d), there is a rebuttable presumption that a complaining tenant's belief regarding an offending tenant's engagement in unlawful activity is reasonable if the complaining tenant gave the landlord the notice required by Subsection (b)(3).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commercial lease that is entered into or renewed on or after the effective date of this Act.  A commercial lease that is entered into or renewed before the effective date of this Act is governed by the law applicable to the lease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