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87R11144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summons for certain persons charged with a violation of a condition of release on parole or to mandatory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508.251(c),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Instead of the issuance of a warrant under this section, the division: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issue to the person a summons requiring the person to appear for a hearing under Section 508.281 if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not a releasee who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on intensive supervision or superintensive supervision;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absconder;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determined by the division to be a threat to public safety;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charged only with committing a new offense that is alleged to have been committed after the first anniversary of the date the person was released on parole or to mandatory supervision if: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new offense is a Class C misdemeanor under the Penal Code, other than an offense committed against a child younger than 17 years of age or an offense involving family violence, as defined by Section 71.004, Family Code;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person has maintained steady employment for at least one year;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person has maintained a stable residence for at least one year;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person has not previously been charged with an offense after the person was released on parole or to mandatory supervision;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issue to the person a summons requiring the person to appear for a hearing under Section 508.281 if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charged only with committing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new offense for which the person has been released on bond;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 xml:space="preserve">
        <w:t> </w:t>
      </w:r>
      <w:r>
        <w:t xml:space="preserve">an administrative violation of release that is alleged to have been committed after the first anniversary of the date the person was released on parole or to mandatory supervision;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not serving a sentence for, and has not been previously convicted of, an offense listed in or described by Article 62.001(5), Code of Criminal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not a releasee with respect to whom a summons may not be issued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