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87R11006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variable rate plans offered by retail electric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39.1026.</w:t>
      </w:r>
      <w:r>
        <w:rPr>
          <w:u w:val="single"/>
        </w:rPr>
        <w:t xml:space="preserve"> </w:t>
      </w:r>
      <w:r>
        <w:rPr>
          <w:u w:val="single"/>
        </w:rPr>
        <w:t xml:space="preserve"> </w:t>
      </w:r>
      <w:r>
        <w:rPr>
          <w:u w:val="single"/>
        </w:rPr>
        <w:t xml:space="preserve">VARIABLE RATE PLANS FOR RESIDENTIAL SERVICE.  (a)  The commission by rule shall require a retail electric provider to offer service under a fixed-price contract. A retail electric provider may not offer a contract for service at a variable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residential service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December 1, 2021, the Public Utility Commission of Texas shall adopt the rules required by Section 39.1026, Utilities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