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87R4529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2812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response loan fund and the permissible uses of that fund;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  In this subchapter, "fund" means the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CREATION OF FUND.  (a)  The disaster response loan fund is created as a fund outside the state treasury with the comptroller,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only to provide short-term loans to political subdivisions affected by a disaster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USE OF MONEY IN FUND.  The comptroller by rule shall establish a loan program to use money from the fund to provide short-term loans for disaster relief or recovery projects to political subdivisions that are located wholly or partly in an area declared by the governor to be a disaster area and that the Federal Emergency Management Agency has determined are eligible to receive financial assistance from the agency in response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LOANS FROM FUND.  (a)  A loan made from the fund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an interest rate that is equal to the average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most recently published average monthly rate of the investment pool managed by the comptroller known as TexPool;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most recent prime rate published in the Wall Street Journal;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must be made for a term not to exceed two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loan proceeds must be expended solely for disaster relief and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fund all principal and interest payments on a loan from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suspend the award of loans from the fund for the duration of a period during which the balance of the fund is less than an amount equal to 75 percent of the total balance of the fund on September 1, 2021.  This subsection expires August 31,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award a loan under this subchapter if the award would affect the political subdivision's receipt of federal money to which the political subdivision is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APPLICATION FOR LOAN.  (a)  The comptroller and the Texas Division of Emergency Management shall jointly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relief or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charge the applicant a fee sufficient to cover the costs of processing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REPORT.  Not later than December 31 of each even-numbered year, the comptroller shall prepare and submit to the governor,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loans made from the fund during the preceding two-year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disaster relief and recovery projects for which the loans were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balance of the fund as of the date on which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On September 1, 2021, the comptroller of public accounts shall transfer $500 million of the unencumbered balance of the general revenue fund on that date to the credit of the disaster response loan fund, as created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