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87R7568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2813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restriction on total charges charged for extensions of consumer credit that a credit services organization obtains for a consumer or assists a consumer in obtaining.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393, Finance Code, is amended by adding Section 393.308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393.308.</w:t>
      </w:r>
      <w:r>
        <w:rPr>
          <w:u w:val="single"/>
        </w:rPr>
        <w:t xml:space="preserve"> </w:t>
      </w:r>
      <w:r>
        <w:rPr>
          <w:u w:val="single"/>
        </w:rPr>
        <w:t xml:space="preserve"> </w:t>
      </w:r>
      <w:r>
        <w:rPr>
          <w:u w:val="single"/>
        </w:rPr>
        <w:t xml:space="preserve">RESTRICTION ON CHARGES CHARGED IN CONNECTION WITH EXTENSIONS OF CONSUMER CREDIT.  (a)  For purposes of this section, the annual percentage rate of an extension of consumer credit is calculated including the total charges charged to the consumer in connection with the extension of consumer credit, including interest, lender charges, and any fees or any other valuable consideration received by the credit services organization or a representative of the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annual percentage rate of an extension of consumer credit that a credit services organization obtains for a consumer or assists a consumer in obtaining may not exceed 36 percent.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393.602(b), Finance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Section 393.308, a</w:t>
      </w:r>
      <w:r>
        <w:t xml:space="preserve"> [</w:t>
      </w:r>
      <w:r>
        <w:rPr>
          <w:strike/>
        </w:rPr>
        <w:t xml:space="preserve">A</w:t>
      </w:r>
      <w:r>
        <w:t xml:space="preserve">] credit access business may assess fees for its services as agreed to between the parties.  A credit access business fee may be calculated daily, biweekly, monthly, or on another periodic basis.  A credit access business is permitted to charge amounts allowed by other laws, as applicable.  A fee may not be charged unless it is disclosed.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393.308, Finance Code, as added by this Act, applies only to an extension of consumer credit made on or after the effective date of this Act.  An extension of consumer credit made before the effective date of this Act is governed by the law in effect on the date the extension of consumer credit was made,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