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87R11018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2816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electric reliability standards adopted by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38.005, Utilities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independent organization described by Section 39.151 shall determine the amount of reserve capacity necessary to maintain a 1 in 10 reliability standard in the ERCOT power region.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Public Utility Commission of Texas shall determine whether the reliability standards adopted under Section 38.005(g), Utilities Code, as added by this Act, ensure that the Electric Reliability Council of Texas power region's electrical network maintains the necessary amount of reserve capacity. </w:t>
      </w:r>
      <w:r>
        <w:t xml:space="preserve"> </w:t>
      </w:r>
      <w:r>
        <w:t xml:space="preserve">The Public Utility Commission of Texas shall report its findings under this section to the legislature.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