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antipsychotic prescription drugs under the vendor drug program and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Subsections (a-3), (a-4), and (a-5)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and except as provided by </w:t>
      </w:r>
      <w:r>
        <w:rPr>
          <w:u w:val="single"/>
        </w:rPr>
        <w:t xml:space="preserve">Subsections (a-3) and</w:t>
      </w:r>
      <w:r>
        <w:t xml:space="preserve"> [</w:t>
      </w:r>
      <w:r>
        <w:rPr>
          <w:strike/>
        </w:rPr>
        <w:t xml:space="preserve">Subsection</w:t>
      </w:r>
      <w:r>
        <w:t xml:space="preserve">] (j).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vendor drug program, may not require prior authorization for a nonpreferred antipsychotic drug that is included on the vendor drug formulary and prescribed to an adult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preceding year, the patient was prescribed and unsuccessfully treated with a 14-day treatment trial of an antipsychotic drug that is included on the appropriate preferred drug list adopted under Section 531.072 and for which a single claim was paid;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 has previously been prescribed and obtained prior authorization for the nonpreferred antipsychotic drug and the prescription is for the purpose of drug dosage titration;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federal law on maximum dosage limits and commission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of a pharmacist to dispense the generic equivalent or interchangeable biological product of a prescription drug in accordance with Subchapter A, Chapter 562,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drug utilization review requirements prescribed by state or federal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prior authorization edits to preferred and nonpreferred antipsychotic drug prescriptions.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executive commissioner, in the rules and standards governing the vendor drug program and as part of the requirements under a contract between the commission and a Medicaid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to the maximum extent possible based on a pharmacy benefit manager's claim system, automation of clinical prior authorization for each drug in the antipsychotic drug class;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at the time a nonpreferred or clinical prior authorization edit is denied, a pharmacist is immediately provided a point-of-sale return message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specifies the contact and other information necessary for the pharmacist to submit a prior authorization request for the prescription;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pharmacist to dispense, only if clinically appropriate under federal or state law, a 72-hour supply of the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rPr>
          <w:u w:val="single"/>
        </w:rPr>
        <w:t xml:space="preserve">(C-2)</w:t>
      </w:r>
      <w:r>
        <w:rPr>
          <w:u w:val="single"/>
        </w:rPr>
        <w:t xml:space="preserve"> </w:t>
      </w:r>
      <w:r>
        <w:rPr>
          <w:u w:val="single"/>
        </w:rPr>
        <w:t xml:space="preserve"> </w:t>
      </w:r>
      <w:r>
        <w:rPr>
          <w:u w:val="single"/>
        </w:rPr>
        <w:t xml:space="preserve">that does not require prior authorization for a nonpreferred antipsychotic drug prescribed to an adult recipient if the requirements of Section 531.073(a-3)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Sections 531.073(a-5) and 533.005(a)(23)(C-2),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Sections 531.073(a-5) and 533.005(a)(23)(C-2), Government Code, as added by this Act.  To the extent of a conflict between those sections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2822 was passed by the House on May 11, 2021, by the following vote:</w:t>
      </w:r>
      <w:r xml:space="preserve">
        <w:t> </w:t>
      </w:r>
      <w:r xml:space="preserve">
        <w:t> </w:t>
      </w:r>
      <w:r>
        <w:t xml:space="preserve">Yeas 112, Nays 32,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2822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