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Morningstar Ranch Municipal Utility District No. 1;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8490 to read as follows:</w:t>
      </w:r>
    </w:p>
    <w:p w:rsidR="003F3435" w:rsidRDefault="0032493E">
      <w:pPr>
        <w:spacing w:line="480" w:lineRule="auto"/>
        <w:jc w:val="center"/>
      </w:pPr>
      <w:r>
        <w:rPr>
          <w:u w:val="single"/>
        </w:rPr>
        <w:t xml:space="preserve">CHAPTER 8490.  MORNINGSTAR RANCH</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Morningstar Ranch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 Notwithstanding any other provision of law, a defined area may include a noncontiguous tract.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8490.0203.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1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2835 was passed by the House on May 8, 2021, by the following vote:</w:t>
      </w:r>
      <w:r xml:space="preserve">
        <w:t> </w:t>
      </w:r>
      <w:r xml:space="preserve">
        <w:t> </w:t>
      </w:r>
      <w:r>
        <w:t xml:space="preserve">Yeas 102, Nays 37,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2835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