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Morningstar Ranch Municipal Utility District No. 1 of Parker County; providing authority to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8490 to read as follows:</w:t>
      </w:r>
    </w:p>
    <w:p w:rsidR="003F3435" w:rsidRDefault="0032493E">
      <w:pPr>
        <w:spacing w:line="480" w:lineRule="auto"/>
        <w:jc w:val="center"/>
      </w:pPr>
      <w:r>
        <w:rPr>
          <w:u w:val="single"/>
        </w:rPr>
        <w:t xml:space="preserve">CHAPTER 8490.  MORNINGSTAR RANCH</w:t>
      </w:r>
      <w:r>
        <w:rPr>
          <w:u w:val="single"/>
        </w:rPr>
        <w:t xml:space="preserve"> </w:t>
      </w:r>
      <w:r>
        <w:rPr>
          <w:u w:val="single"/>
        </w:rPr>
        <w:t xml:space="preserve">MUNICIPAL UTILITY DISTRICT NO. 1 OF PARKER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Morningstar Ranch Municipal Utility District No. 1 of Parker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revenue, contract payments, grants, or other district money, or any combination of those sources, to pay for a road project authorized by Section 8490.0203.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Morningstar Ranch Municipal Utility District No. 1 of Parker County</w:t>
      </w:r>
      <w:r>
        <w:t xml:space="preserve"> </w:t>
      </w:r>
      <w:r>
        <w:t xml:space="preserve">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