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87R6268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Longoria, 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inapplicability of state citrus fruit maturity standards to grapefruit and oranges processed for juice.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94.002,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94.002.</w:t>
      </w:r>
      <w:r xml:space="preserve">
        <w:t> </w:t>
      </w:r>
      <w:r xml:space="preserve">
        <w:t> </w:t>
      </w:r>
      <w:r>
        <w:t xml:space="preserve">EXCEPTIONS.  Except to the extent specifically provided by this chapter,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citrus fruit other than citrus grandis, osbeck, commonly known as grapefruit, and citrus sinensis, osbeck, commonly known as oranges;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sale of citrus fruit "on the trees";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grapefruit that is shipped after December 1 of a year and before August 1 of the following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early or midseason oranges that are shipped after November 1 of a year and before August 1 of the following year;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transportation of citrus fruit from a grove to a packing house located in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grapefruit or oranges that are processed for juice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