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Longoria, Guerra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Hinojosa)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2840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2021; May</w:t>
      </w:r>
      <w:r xml:space="preserve">
        <w:t> </w:t>
      </w:r>
      <w:r>
        <w:t xml:space="preserve">4,</w:t>
      </w:r>
      <w:r xml:space="preserve">
        <w:t> </w:t>
      </w:r>
      <w:r>
        <w:t xml:space="preserve">2021, read first time and referred to Committee on Water, Agriculture &amp; Rural Affairs;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inapplicability of state citrus fruit maturity standards to grapefruit and oranges processed for juice.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94.002,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94.002.</w:t>
      </w:r>
      <w:r xml:space="preserve">
        <w:t> </w:t>
      </w:r>
      <w:r xml:space="preserve">
        <w:t> </w:t>
      </w:r>
      <w:r>
        <w:t xml:space="preserve">EXCEPTIONS.  Except to the extent specifically provided by this chapter, 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citrus fruit other than citrus grandis, osbeck, commonly known as grapefruit, and citrus sinensis, osbeck, commonly known as oranges;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sale of citrus fruit "on the trees";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grapefruit that is shipped after December 1 of a year and before August 1 of the following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early or midseason oranges that are shipped after November 1 of a year and before August 1 of the following year;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transportation of citrus fruit from a grove to a packing house located in this state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grapefruit or oranges that are processed for juice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