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87R4466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2842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titles by a structural engineer.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1001, Occupations Code, is amended by adding Section 1001.3085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1001.3085.</w:t>
      </w:r>
      <w:r>
        <w:rPr>
          <w:u w:val="single"/>
        </w:rPr>
        <w:t xml:space="preserve"> </w:t>
      </w:r>
      <w:r>
        <w:rPr>
          <w:u w:val="single"/>
        </w:rPr>
        <w:t xml:space="preserve"> </w:t>
      </w:r>
      <w:r>
        <w:rPr>
          <w:u w:val="single"/>
        </w:rPr>
        <w:t xml:space="preserve">REGISTERED STRUCTURAL ENGINEER; USE OF TITLE.  (a) </w:t>
      </w:r>
      <w:r>
        <w:rPr>
          <w:u w:val="single"/>
        </w:rPr>
        <w:t xml:space="preserve"> </w:t>
      </w:r>
      <w:r>
        <w:rPr>
          <w:u w:val="single"/>
        </w:rPr>
        <w:t xml:space="preserve">In this section, "NCEES" means the National Council of Examiners for Engineering and Surveying.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authorize an engineer to use the title "registered structural engineer"</w:t>
      </w:r>
      <w:r>
        <w:rPr>
          <w:u w:val="single"/>
        </w:rPr>
        <w:t xml:space="preserve"> </w:t>
      </w:r>
      <w:r>
        <w:rPr>
          <w:u w:val="single"/>
        </w:rPr>
        <w:t xml:space="preserve">if the engineer submits evidence satisfactory to the board showing that the engineer has passed: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16 hours of NCEES structural engineering examinations, eight hours of which are the Structural II examination taken before January 1, 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16 hours of state structural engineering examinations taken before 2004;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NCEES Structural II examination and an eight-hour state structural engineering examination, each taken before January 1, 2011;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16-hour NCEES structural engineering examination taken after January 1, 2011;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16-hour structural engineering examination or a combination of structural engineering examinations totaling 16 hours that is substantially equivalent to the 16-hour NCEES structural engineering examination, as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use the title "registered structural engineer" unless the person obtains authorization from the board in accordance with this 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1001.401(a), an engineer who is authorized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seal in a design authorized by the board, showing the engineer's name and the legend "Registered Structural Engineer";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seal for the purposes required by Section 1001.401.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1001.405(e), a business entity that is registered with the board and actively engaged in the practice of engineering may use the term "registered structural engineer" in the manner provided by that subsection if each service, work, or act performed by the business entity that is part of the practice of engineering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performed by an engineer authorized under this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supervised by an engineer authorized under this section who is a regular full-time employee of the business entity.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Texas Board of Professional Engineers shall adopt rules necessary to implement Section 1001.3085,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