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87R9721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donation to the United States of certain facilities relating to a toll bridge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367.012, Transportation Code, is amended to read as follows:</w:t>
      </w:r>
    </w:p>
    <w:p w:rsidR="003F3435" w:rsidRDefault="0032493E">
      <w:pPr>
        <w:spacing w:line="480" w:lineRule="auto"/>
        <w:ind w:firstLine="720"/>
        <w:jc w:val="both"/>
      </w:pPr>
      <w:r>
        <w:t xml:space="preserve">Sec.</w:t>
      </w:r>
      <w:r xml:space="preserve">
        <w:t> </w:t>
      </w:r>
      <w:r>
        <w:t xml:space="preserve">367.012.</w:t>
      </w:r>
      <w:r xml:space="preserve">
        <w:t> </w:t>
      </w:r>
      <w:r xml:space="preserve">
        <w:t> </w:t>
      </w:r>
      <w:r>
        <w:t xml:space="preserve">PUBLIC PURPOSE.  The acquisition, construction, improvement, enlargement, or equipment by a municipality of property or a building, structure, or other facility for lease to </w:t>
      </w:r>
      <w:r>
        <w:rPr>
          <w:u w:val="single"/>
        </w:rPr>
        <w:t xml:space="preserve">and the donation of property or a building, structure, or other facility by a municipality to</w:t>
      </w:r>
      <w:r>
        <w:t xml:space="preserve"> the United States for use in performing a federal governmental function in the municipality or at or near and relating to a toll bridge of the municipality is a public purpose and a proper municipal function, regardless of whether the toll bridge or the federal facility relating to the toll bridge is located inside or outside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367.013, Transportation Code, is amended to read as follows:</w:t>
      </w:r>
    </w:p>
    <w:p w:rsidR="003F3435" w:rsidRDefault="0032493E">
      <w:pPr>
        <w:spacing w:line="480" w:lineRule="auto"/>
        <w:ind w:firstLine="720"/>
        <w:jc w:val="both"/>
      </w:pPr>
      <w:r>
        <w:t xml:space="preserve">Sec.</w:t>
      </w:r>
      <w:r xml:space="preserve">
        <w:t> </w:t>
      </w:r>
      <w:r>
        <w:t xml:space="preserve">367.013.</w:t>
      </w:r>
      <w:r xml:space="preserve">
        <w:t> </w:t>
      </w:r>
      <w:r xml:space="preserve">
        <w:t> </w:t>
      </w:r>
      <w:r>
        <w:t xml:space="preserve">LEASE</w:t>
      </w:r>
      <w:r>
        <w:rPr>
          <w:u w:val="single"/>
        </w:rPr>
        <w:t xml:space="preserve">,</w:t>
      </w:r>
      <w:r>
        <w:t xml:space="preserve"> [</w:t>
      </w:r>
      <w:r>
        <w:rPr>
          <w:strike/>
        </w:rPr>
        <w:t xml:space="preserve">OR</w:t>
      </w:r>
      <w:r>
        <w:t xml:space="preserve">] RENTAL</w:t>
      </w:r>
      <w:r>
        <w:rPr>
          <w:u w:val="single"/>
        </w:rPr>
        <w:t xml:space="preserve">, OR DONATION</w:t>
      </w:r>
      <w:r>
        <w:t xml:space="preserve"> OF FACILITY TO UNITED STATES.  A municipality may lease</w:t>
      </w:r>
      <w:r>
        <w:rPr>
          <w:u w:val="single"/>
        </w:rPr>
        <w:t xml:space="preserve">,</w:t>
      </w:r>
      <w:r>
        <w:t xml:space="preserve"> [</w:t>
      </w:r>
      <w:r>
        <w:rPr>
          <w:strike/>
        </w:rPr>
        <w:t xml:space="preserve">or</w:t>
      </w:r>
      <w:r>
        <w:t xml:space="preserve">] rent</w:t>
      </w:r>
      <w:r>
        <w:rPr>
          <w:u w:val="single"/>
        </w:rPr>
        <w:t xml:space="preserve">, or donate</w:t>
      </w:r>
      <w:r>
        <w:t xml:space="preserve"> to the United States property or a building, structure, or other facility acquired, constructed, improved, enlarged, or equipped in whole or in part with proceeds from the sale of bonds issued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bond issued on or after the effective date of this Act.  A bond issued before the effective date of this Act is governed by the applicable law in effect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