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87R1546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Tarrant County Hospital District or a nonprofit corporation formed by the district regarding certain technology or intellectual property owned by or licensed to the district or corporation.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281, Health and Safety Code, is amended by adding Section 281.0519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281.0519.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TARRANT COUNTY HOSPITAL DISTRICT; AUTHORITY TO SELL OR LICENSE INTELLECTUAL PROPERTY.  (a)  The Tarrant County Hospital District or a nonprofit corporation formed by the district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or license technology or intellectual property that is owned by or licensed to the district or a nonprofit corporation formed by the district;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into a contract to provide services related to technology or intellectual property sold or licensed under Subdivision (1);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contract, collaborate, or enter into a joint venture or other agreement with a public or private entity to engage in an activity authorized under Subdivision (1) or (2);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 any other action necessary to protect or benefit from the exclusivity of technology and intellectual property owned by or licensed to the district or a nonprofit corporation formed by the district, including applying for, acquiring, registering, securing, holding, protecting, and renewing under applicable provisions of state, federal, or international law: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patent;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copyright;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trademark, service mark, collective mark, or certification mark;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form of protection of intellectual property provided by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(a)(3):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or private entity may be a for-profit or a nonprofit entity;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corporation formed by the district may hold an ownership interest in a public or private entity described by Subsection (a)(3).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prepared or compiled by or for the Tarrant County Hospital District or a nonprofit corporation formed by the district relating to the development of technology or intellectual property to which this section applies is exempt from public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