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87R11232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w:t>
      </w:r>
      <w:r xml:space="preserve">
        <w:tab wTab="150" tlc="none" cTlc="0"/>
      </w:r>
      <w:r>
        <w:t xml:space="preserve">H.B.</w:t>
      </w:r>
      <w:r xml:space="preserve">
        <w:t> </w:t>
      </w:r>
      <w:r>
        <w:t xml:space="preserve">No.</w:t>
      </w:r>
      <w:r xml:space="preserve">
        <w:t> </w:t>
      </w:r>
      <w:r>
        <w:t xml:space="preserve">2849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winter weather emergency preparedness of facilities that provide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35, Utilities Code, is amended by adding Section 35.0025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35.0025.</w:t>
      </w:r>
      <w:r>
        <w:rPr>
          <w:u w:val="single"/>
        </w:rPr>
        <w:t xml:space="preserve"> </w:t>
      </w:r>
      <w:r>
        <w:rPr>
          <w:u w:val="single"/>
        </w:rPr>
        <w:t xml:space="preserve"> </w:t>
      </w:r>
      <w:r>
        <w:rPr>
          <w:u w:val="single"/>
        </w:rPr>
        <w:t xml:space="preserve">WEATHER EMERGENCY PREPAREDNESS.  The commission by rule shall require each provider of generation in the ERCOT power region to implement measures to prepare the provider's generation facilities to provide adequate electric generation service during a winter weather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