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87R12064 JSC-D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Collier</w:t>
      </w:r>
      <w:r xml:space="preserve">
        <w:tab wTab="150" tlc="none" cTlc="0"/>
      </w:r>
      <w:r>
        <w:t xml:space="preserve">H.B.</w:t>
      </w:r>
      <w:r xml:space="preserve">
        <w:t> </w:t>
      </w:r>
      <w:r>
        <w:t xml:space="preserve">No.</w:t>
      </w:r>
      <w:r xml:space="preserve">
        <w:t> </w:t>
      </w:r>
      <w:r>
        <w:t xml:space="preserve">2865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requirements for a license to carry a handgun.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411.1711, Government Code, is amended to read as follows:</w:t>
      </w:r>
    </w:p>
    <w:p w:rsidR="003F3435" w:rsidRDefault="0032493E">
      <w:pPr>
        <w:spacing w:line="480" w:lineRule="auto"/>
        <w:ind w:firstLine="720"/>
        <w:jc w:val="both"/>
      </w:pPr>
      <w:r>
        <w:t xml:space="preserve">Sec.</w:t>
      </w:r>
      <w:r xml:space="preserve">
        <w:t> </w:t>
      </w:r>
      <w:r>
        <w:t xml:space="preserve">411.1711.</w:t>
      </w:r>
      <w:r xml:space="preserve">
        <w:t> </w:t>
      </w:r>
      <w:r xml:space="preserve">
        <w:t> </w:t>
      </w:r>
      <w:r>
        <w:t xml:space="preserve">CERTAIN EXEMPTIONS FROM CONVICTIONS.  A person is not convicted, as that term is defined by Section 411.171, if an order of deferred adjudication was entered against the person on a date not less than 10 years preceding the date of the person's application for a license under this subchapter unless the order of deferred adjudication was entered against the person for:</w:t>
      </w:r>
    </w:p>
    <w:p w:rsidR="003F3435" w:rsidRDefault="0032493E">
      <w:pPr>
        <w:spacing w:line="480" w:lineRule="auto"/>
        <w:ind w:firstLine="1440"/>
        <w:jc w:val="both"/>
      </w:pPr>
      <w:r>
        <w:t xml:space="preserve">(1)</w:t>
      </w:r>
      <w:r xml:space="preserve">
        <w:t> </w:t>
      </w:r>
      <w:r xml:space="preserve">
        <w:t> </w:t>
      </w:r>
      <w:r>
        <w:t xml:space="preserve">a felony offense under:</w:t>
      </w:r>
    </w:p>
    <w:p w:rsidR="003F3435" w:rsidRDefault="0032493E">
      <w:pPr>
        <w:spacing w:line="480" w:lineRule="auto"/>
        <w:ind w:firstLine="2160"/>
        <w:jc w:val="both"/>
      </w:pPr>
      <w:r>
        <w:t xml:space="preserve">(A)</w:t>
      </w:r>
      <w:r xml:space="preserve">
        <w:t> </w:t>
      </w:r>
      <w:r xml:space="preserve">
        <w:t> </w:t>
      </w:r>
      <w:r>
        <w:t xml:space="preserve">Title 5, Penal Code;</w:t>
      </w:r>
    </w:p>
    <w:p w:rsidR="003F3435" w:rsidRDefault="0032493E">
      <w:pPr>
        <w:spacing w:line="480" w:lineRule="auto"/>
        <w:ind w:firstLine="2160"/>
        <w:jc w:val="both"/>
      </w:pPr>
      <w:r>
        <w:t xml:space="preserve">(B)</w:t>
      </w:r>
      <w:r xml:space="preserve">
        <w:t> </w:t>
      </w:r>
      <w:r xml:space="preserve">
        <w:t> </w:t>
      </w:r>
      <w:r>
        <w:rPr>
          <w:u w:val="single"/>
        </w:rPr>
        <w:t xml:space="preserve">Section 29.03</w:t>
      </w:r>
      <w:r>
        <w:t xml:space="preserve"> [</w:t>
      </w:r>
      <w:r>
        <w:rPr>
          <w:strike/>
        </w:rPr>
        <w:t xml:space="preserve">Chapter 29</w:t>
      </w:r>
      <w:r>
        <w:t xml:space="preserve">], Penal Code;</w:t>
      </w:r>
    </w:p>
    <w:p w:rsidR="003F3435" w:rsidRDefault="0032493E">
      <w:pPr>
        <w:spacing w:line="480" w:lineRule="auto"/>
        <w:ind w:firstLine="2160"/>
        <w:jc w:val="both"/>
      </w:pPr>
      <w:r>
        <w:t xml:space="preserve">(C)</w:t>
      </w:r>
      <w:r xml:space="preserve">
        <w:t> </w:t>
      </w:r>
      <w:r xml:space="preserve">
        <w:t> </w:t>
      </w:r>
      <w:r>
        <w:t xml:space="preserve">Section 25.07 or 25.072, Penal Code; or</w:t>
      </w:r>
    </w:p>
    <w:p w:rsidR="003F3435" w:rsidRDefault="0032493E">
      <w:pPr>
        <w:spacing w:line="480" w:lineRule="auto"/>
        <w:ind w:firstLine="2160"/>
        <w:jc w:val="both"/>
      </w:pPr>
      <w:r>
        <w:t xml:space="preserve">(D)</w:t>
      </w:r>
      <w:r xml:space="preserve">
        <w:t> </w:t>
      </w:r>
      <w:r xml:space="preserve">
        <w:t> </w:t>
      </w:r>
      <w:r>
        <w:t xml:space="preserve">Section 30.02, Penal Code, if the offense is punishable under Subsection [</w:t>
      </w:r>
      <w:r>
        <w:rPr>
          <w:strike/>
        </w:rPr>
        <w:t xml:space="preserve">(c)(2) or</w:t>
      </w:r>
      <w:r>
        <w:t xml:space="preserve">] (d) of that section; or</w:t>
      </w:r>
    </w:p>
    <w:p w:rsidR="003F3435" w:rsidRDefault="0032493E">
      <w:pPr>
        <w:spacing w:line="480" w:lineRule="auto"/>
        <w:ind w:firstLine="1440"/>
        <w:jc w:val="both"/>
      </w:pPr>
      <w:r>
        <w:t xml:space="preserve">(2)</w:t>
      </w:r>
      <w:r xml:space="preserve">
        <w:t> </w:t>
      </w:r>
      <w:r xml:space="preserve">
        <w:t> </w:t>
      </w:r>
      <w:r>
        <w:t xml:space="preserve">an offense under the laws of another state if the offense contains elements that are substantially similar to the elements of an offense listed in Subdivision (1).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to any determination of a person's eligibility for a license to carry a handgun under Subchapter H, Chapter 411, Government Code, that is made by the Department of Public Safety of the State of Texas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