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87R8328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public schools to use the wet bulb globe temperature to determine whether conditions are unsatisfactory for student outdoor activities due to severe heat.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WET BULB GLOBE TEMPERATURE FOR SEVERE HEAT DETERMINATIONS.  (a)  In this section, "wet bulb globe temperature" means a comprehensive measurement of environmental conditions that accounts for ambient temperature, relative humidity, wind, and solar radiation.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and open-enrollment charter school shall refer to the wet bulb globe temperature in determining satisfactory or unsatisfactory conditions for outdoor activities,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athletic activities;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extracurricular activities conducted outdoors;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related activities.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 any immunity from liability of a school district or open-enrollment charter school or of district or charter school officers or employees;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 any liability for a cause of action against a school district or open-enrollment charter school or against district or charter school officers or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