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87R9476 SLB-F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Morrison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public-private partnerships to design, develop, finance, construct, and receive financial assistance for certain water-related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15, Water Code, is amended by adding Section 15.4745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15.4745.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PUBLIC-PRIVATE PARTNERSHIPS. </w:t>
      </w:r>
      <w:r>
        <w:rPr>
          <w:u w:val="single"/>
        </w:rPr>
        <w:t xml:space="preserve"> </w:t>
      </w:r>
      <w:r>
        <w:rPr>
          <w:u w:val="single"/>
        </w:rPr>
        <w:t xml:space="preserve">A person that receives money from the fund may enter into an agreement with a private entity to design, develop, finance, or construct a project described by Subchapter I, Q, or R of this chapter, Subchapter E or F, Chapter 16, or Subchapter J, Chapter 17.  Money from the fund may be used to make payments under an agreement entered into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15, Water Code, is amended by adding Section 15.5345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15.5345.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PUBLIC-PRIVATE PARTNERSHIPS. </w:t>
      </w:r>
      <w:r>
        <w:rPr>
          <w:u w:val="single"/>
        </w:rPr>
        <w:t xml:space="preserve"> </w:t>
      </w:r>
      <w:r>
        <w:rPr>
          <w:u w:val="single"/>
        </w:rPr>
        <w:t xml:space="preserve">An eligible political subdivision that receives money from the fund may enter into a contract as described by Subchapter A, Chapter 271, Local Government Code, with a private entity to design, develop, finance, or construct a flood project. </w:t>
      </w:r>
      <w:r>
        <w:rPr>
          <w:u w:val="single"/>
        </w:rPr>
        <w:t xml:space="preserve"> </w:t>
      </w:r>
      <w:r>
        <w:rPr>
          <w:u w:val="single"/>
        </w:rPr>
        <w:t xml:space="preserve">Money from the fund may be used to make payments under a contract entered into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Q, Chapter 15, Water Code, is amended by adding Section 15.9805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15.9805.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PUBLIC-PRIVATE PARTNERSHIPS. </w:t>
      </w:r>
      <w:r>
        <w:rPr>
          <w:u w:val="single"/>
        </w:rPr>
        <w:t xml:space="preserve"> </w:t>
      </w:r>
      <w:r>
        <w:rPr>
          <w:u w:val="single"/>
        </w:rPr>
        <w:t xml:space="preserve">An eligible political subdivision that receives money from the fund may enter into a contract as described by Subchapter A, Chapter 271, Local Government Code, with a private entity to design, develop, finance, or construct a project. </w:t>
      </w:r>
      <w:r>
        <w:rPr>
          <w:u w:val="single"/>
        </w:rPr>
        <w:t xml:space="preserve"> </w:t>
      </w:r>
      <w:r>
        <w:rPr>
          <w:u w:val="single"/>
        </w:rPr>
        <w:t xml:space="preserve">Money from the fund may be used to make payments under a contract entered into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