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87R12341 JAM-D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Bernal</w:t>
      </w:r>
      <w:r xml:space="preserve">
        <w:tab wTab="150" tlc="none" cTlc="0"/>
      </w:r>
      <w:r>
        <w:t xml:space="preserve">H.B.</w:t>
      </w:r>
      <w:r xml:space="preserve">
        <w:t> </w:t>
      </w:r>
      <w:r>
        <w:t xml:space="preserve">No.</w:t>
      </w:r>
      <w:r xml:space="preserve">
        <w:t> </w:t>
      </w:r>
      <w:r>
        <w:t xml:space="preserve">2906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disposition of rental payments received by public housing authorities from tenants.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392, Local Government Code, is amended by adding Section 392.068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392.068.</w:t>
      </w:r>
      <w:r>
        <w:rPr>
          <w:u w:val="single"/>
        </w:rPr>
        <w:t xml:space="preserve"> </w:t>
      </w:r>
      <w:r>
        <w:rPr>
          <w:u w:val="single"/>
        </w:rPr>
        <w:t xml:space="preserve"> </w:t>
      </w:r>
      <w:r>
        <w:rPr>
          <w:u w:val="single"/>
        </w:rPr>
        <w:t xml:space="preserve">DISPOSITION OF RENTAL PAYMENTS.  A housing authority shall apply a rental payment received from a tenant to any current or delinquent rent owed by the tenant before the authority may apply the payment to other charges, fees, or expenses owed by the tenant, including maintenance or utility charges.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2906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