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2924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State Affairs; May</w:t>
      </w:r>
      <w:r xml:space="preserve">
        <w:t> </w:t>
      </w:r>
      <w:r>
        <w:t xml:space="preserve">19,</w:t>
      </w:r>
      <w:r xml:space="preserve">
        <w:t> </w:t>
      </w:r>
      <w:r>
        <w:t xml:space="preserve">2021, reported favorably by the following vote:</w:t>
      </w:r>
      <w:r>
        <w:t xml:space="preserve"> </w:t>
      </w:r>
      <w:r>
        <w:t xml:space="preserve"> </w:t>
      </w:r>
      <w:r>
        <w:t xml:space="preserve">Yeas 9,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grounds for the involuntary termination of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child);</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pornography);</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children);</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prostitution);</w:t>
      </w:r>
    </w:p>
    <w:p w:rsidR="003F3435" w:rsidRDefault="0032493E">
      <w:pPr>
        <w:spacing w:line="480" w:lineRule="auto"/>
        <w:ind w:firstLine="2160"/>
        <w:jc w:val="both"/>
      </w:pPr>
      <w:r>
        <w:t xml:space="preserve">(M)</w:t>
      </w:r>
      <w:r xml:space="preserve">
        <w:t> </w:t>
      </w:r>
      <w:r xml:space="preserve">
        <w:t> </w:t>
      </w:r>
      <w:r>
        <w:t xml:space="preserve">[</w:t>
      </w:r>
      <w:r>
        <w:rPr>
          <w:strike/>
        </w:rP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w:t>
      </w:r>
      <w:r>
        <w:rPr>
          <w:strike/>
        </w:rPr>
        <w:t xml:space="preserve">(N)</w:t>
      </w:r>
      <w:r>
        <w:t xml:space="preserve">] 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rPr>
          <w:u w:val="single"/>
        </w:rPr>
        <w:t xml:space="preserve">(N)</w:t>
      </w:r>
      <w:r xml:space="preserve">
        <w:t> </w:t>
      </w:r>
      <w:r>
        <w:t xml:space="preserve">[</w:t>
      </w:r>
      <w:r>
        <w:rPr>
          <w:strike/>
        </w:rPr>
        <w:t xml:space="preserve">(O)</w:t>
      </w:r>
      <w:r>
        <w:t xml:space="preserve">]</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rPr>
          <w:u w:val="single"/>
        </w:rPr>
        <w:t xml:space="preserve">(O)</w:t>
      </w:r>
      <w:r xml:space="preserve">
        <w:t> </w:t>
      </w:r>
      <w:r>
        <w:t xml:space="preserve">[</w:t>
      </w:r>
      <w:r>
        <w:rPr>
          <w:strike/>
        </w:rPr>
        <w:t xml:space="preserve">(P)</w:t>
      </w:r>
      <w:r>
        <w:t xml:space="preserve">]</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rPr>
          <w:u w:val="single"/>
        </w:rPr>
        <w:t xml:space="preserve">(P)</w:t>
      </w:r>
      <w:r xml:space="preserve">
        <w:t> </w:t>
      </w:r>
      <w:r>
        <w:t xml:space="preserve">[</w:t>
      </w:r>
      <w:r>
        <w:rPr>
          <w:strike/>
        </w:rPr>
        <w:t xml:space="preserve">(Q)</w:t>
      </w:r>
      <w:r>
        <w:t xml:space="preserve">]</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rPr>
          <w:u w:val="single"/>
        </w:rPr>
        <w:t xml:space="preserve">(Q)</w:t>
      </w:r>
      <w:r xml:space="preserve">
        <w:t> </w:t>
      </w:r>
      <w:r>
        <w:t xml:space="preserve">[</w:t>
      </w:r>
      <w:r>
        <w:rPr>
          <w:strike/>
        </w:rPr>
        <w:t xml:space="preserve">(R)</w:t>
      </w:r>
      <w:r>
        <w:t xml:space="preserve">]</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rPr>
          <w:u w:val="single"/>
        </w:rPr>
        <w:t xml:space="preserve">(R)</w:t>
      </w:r>
      <w:r xml:space="preserve">
        <w:t> </w:t>
      </w:r>
      <w:r>
        <w:t xml:space="preserve">[</w:t>
      </w:r>
      <w:r>
        <w:rPr>
          <w:strike/>
        </w:rPr>
        <w:t xml:space="preserve">(S)</w:t>
      </w:r>
      <w:r>
        <w:t xml:space="preserve">]</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rPr>
          <w:u w:val="single"/>
        </w:rPr>
        <w:t xml:space="preserve">(S)</w:t>
      </w:r>
      <w:r xml:space="preserve">
        <w:t> </w:t>
      </w:r>
      <w:r>
        <w:t xml:space="preserve">[</w:t>
      </w:r>
      <w:r>
        <w:rPr>
          <w:strike/>
        </w:rPr>
        <w:t xml:space="preserve">(T)</w:t>
      </w:r>
      <w:r>
        <w:t xml:space="preserve">]</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rPr>
          <w:u w:val="single"/>
        </w:rPr>
        <w:t xml:space="preserve">(T)</w:t>
      </w:r>
      <w:r xml:space="preserve">
        <w:t> </w:t>
      </w:r>
      <w:r>
        <w:t xml:space="preserve">[</w:t>
      </w:r>
      <w:r>
        <w:rPr>
          <w:strike/>
        </w:rPr>
        <w:t xml:space="preserve">(U)</w:t>
      </w:r>
      <w:r>
        <w:t xml:space="preserve">]</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court order for the involuntary termination of the parent-child relationship rendered on or after the effective date of this Act. A court order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