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87R9379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the parent-child relationship with respect to a person whose parental rights have been involuntarily terminated.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Family Code, is amended by adding Subchapter D to read as follows:</w:t>
      </w:r>
    </w:p>
    <w:p w:rsidR="003F3435" w:rsidRDefault="0032493E">
      <w:pPr>
        <w:spacing w:line="480" w:lineRule="auto"/>
        <w:jc w:val="center"/>
      </w:pPr>
      <w:r>
        <w:rPr>
          <w:u w:val="single"/>
        </w:rPr>
        <w:t xml:space="preserve">SUBCHAPTER D.  REINSTATEMENT OF PARENTAL RIGHTS AFTER INVOLUNTARY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PETITION.  (a)  The following persons may file a petition under this subchapter requesting the court to reinstate the parental rights of a former parent whose parental rights were involuntarily terminated under Section 161.001 or 161.003: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single source continuum contractor under Subchapter B-1, Chapter 264, with responsibility for the child who is the subject of the petition;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ad litem for the child who is the subject of the petition;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former parent whose parental rights were involuntarily terminated.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for the reinstatement of parental rights may be filed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years have passed since the issuance of the order terminating the former parent's parental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has not been adopted;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not the subject of a written adoption placement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contents of the petition for reinstatement of parental rights must be sworn by the petitioner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name, current residence address, and  date and place of birth,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current residence address, and contact information, if known, of any party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the original termination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information relevant to the determination of conservatorship of or possession of or access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the grounds on which the court rendered the order terminating the former parent's parental rights;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statement of the facts and evidence that the petitioner believes demonstrate that the former parent whose parental rights are sought to be reinstated has the capacity and willingness to perform parental duties under Section 151.001,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former parent whose parental rights are sought to be reinstated requesting the reinstatement of parental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  The commissioner shall create a form to be used by a former parent for that notice that includes the information listed in Subsection (c).  A copy of the notice must be filed with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for the reinstatement of parental rights and notice of hearing on the petition must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the child's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attorney ad litem;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single source continuum contractor,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whose parental rights are sought to be reinstated, if that former parent is not the petitioner;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161.303.</w:t>
      </w:r>
      <w:r>
        <w:rPr>
          <w:u w:val="single"/>
        </w:rPr>
        <w:t xml:space="preserve"> </w:t>
      </w:r>
      <w:r>
        <w:rPr>
          <w:u w:val="single"/>
        </w:rPr>
        <w:t xml:space="preserve"> </w:t>
      </w:r>
      <w:r>
        <w:rPr>
          <w:u w:val="single"/>
        </w:rPr>
        <w:t xml:space="preserve">HEARING.  (a)  A reinstatement hearing under this subchapter must be held not later than the 60th day after the date the petition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has the burden of proof in the hearing, and each party may call witnesses.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of parental rights is in the child's best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issuance of the order terminating parental rights;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 and is not the subject of a written adoption placement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child is 12 years of age or older, the child consents to the reinstatement and desires to reside with the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has remedied the conditions that were grounds for rendering the order terminating parental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former parent is willing and has the capability to perform parental duties as provided in Section 151.001, including maintaining the health, safety, and welfare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161.304.</w:t>
      </w:r>
      <w:r>
        <w:rPr>
          <w:u w:val="single"/>
        </w:rPr>
        <w:t xml:space="preserve"> </w:t>
      </w:r>
      <w:r>
        <w:rPr>
          <w:u w:val="single"/>
        </w:rPr>
        <w:t xml:space="preserve"> </w:t>
      </w:r>
      <w:r>
        <w:rPr>
          <w:u w:val="single"/>
        </w:rPr>
        <w:t xml:space="preserve">ORDERS.  (a) </w:t>
      </w:r>
      <w:r>
        <w:rPr>
          <w:u w:val="single"/>
        </w:rPr>
        <w:t xml:space="preserve"> </w:t>
      </w:r>
      <w:r>
        <w:rPr>
          <w:u w:val="single"/>
        </w:rPr>
        <w:t xml:space="preserve">Following a hearing under this subchapter, the court may render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granting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defers granting the petition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monitor the possessory conservatorship of the former parent during the period of the temporary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findings and detailing reasons for denial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