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87R7279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historically underutilized business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2161, Government Code, is amended by adding Section 2161.067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2161.067.</w:t>
      </w:r>
      <w:r>
        <w:rPr>
          <w:u w:val="single"/>
        </w:rPr>
        <w:t xml:space="preserve"> </w:t>
      </w:r>
      <w:r>
        <w:rPr>
          <w:u w:val="single"/>
        </w:rPr>
        <w:t xml:space="preserve"> </w:t>
      </w:r>
      <w:r>
        <w:rPr>
          <w:u w:val="single"/>
        </w:rPr>
        <w:t xml:space="preserve">HISTORICALLY UNDERUTILIZED BUSINESS TASK FORCE.  (a)  In this section, "task force" means the historically underutilized business task force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historically underutilized business task force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state agency's outreach efforts, policies, and bidding processes;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amount of access to contracting opportunities available to historically underutilized businesses compared to other businesses;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 effective practices among different state agencies;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 to the legislature and state agencies strategies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 full and good faith compliance with this chapter in state contracting;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participation of historically underutilized businesses in state contracting;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address other topics related to historically underutilized businesses;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assigned by the comptroller and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historically underutilized business coordinator from each state agency with a biennial budget that exceeds $10 million, as described in Section 2161.062(e);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lieutenant governor;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speaker of the house of representatives.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task force that are appointed by the governor, lieutenant governor, and speaker of the house serve staggered terms of two years, with one or two members' terms expiring December 1 of each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member appointed by the governor shall serve as the initial presiding officer of the task force for a two-year term.  The task force shall elect succeeding presiding officers from among its membership at the first meeting following the expiration of the presiding officer's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task force shall meet quarterly at the call of the presiding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the task force shall prepare and submit to the governor, the legislature, and each state agency a written report summarizing the task force's findings and recommendations, including legislative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2021, the governor, lieutenant governor, and speaker of the house of representatives shall each appoint one member to the historically underutilized business task force as required under Section 2161.067,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2021, the presiding officer of the historically underutilized business task force created under Section 2161.067, Government Code, as added by this Act, shall call the first meeting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