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87R20373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2942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2942:</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2942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investigations and actions by district or county attorneys in connection with the deceptive trade practice of charging exorbitant or excessive prices for necessities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17.463, Business &amp; Commerce Code, is amended to read as follows:</w:t>
      </w:r>
    </w:p>
    <w:p w:rsidR="003F3435" w:rsidRDefault="0032493E">
      <w:pPr>
        <w:spacing w:line="480" w:lineRule="auto"/>
        <w:ind w:firstLine="720"/>
        <w:jc w:val="both"/>
      </w:pPr>
      <w:r>
        <w:t xml:space="preserve">Sec.</w:t>
      </w:r>
      <w:r xml:space="preserve">
        <w:t> </w:t>
      </w:r>
      <w:r>
        <w:t xml:space="preserve">17.463.</w:t>
      </w:r>
      <w:r xml:space="preserve">
        <w:t> </w:t>
      </w:r>
      <w:r xml:space="preserve">
        <w:t> </w:t>
      </w:r>
      <w:r>
        <w:rPr>
          <w:u w:val="single"/>
        </w:rPr>
        <w:t xml:space="preserve">LIMITED AUTHORITY OF DISTRICT AND COUNTY ATTORNEYS TO INVESTIGATE AND PROSECUTE CERTAIN DECEPTIVE ACTS OR PRACTICES</w:t>
      </w:r>
      <w:r xml:space="preserve">
        <w:t> </w:t>
      </w:r>
      <w:r>
        <w:t xml:space="preserve">[</w:t>
      </w:r>
      <w:r>
        <w:rPr>
          <w:strike/>
        </w:rPr>
        <w:t xml:space="preserve">PRODUCTION, SALE, DISTRIBUTION, OR PROMOTION OF CERTAIN SYNTHETIC SUBSTANCES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17.463, Business &amp; Commerce Code, is amended by amending Subsections (a) and (f) and adding Subsection (g)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act described by Section </w:t>
      </w:r>
      <w:r>
        <w:rPr>
          <w:u w:val="single"/>
        </w:rPr>
        <w:t xml:space="preserve">17.46(b)(27) or (31)</w:t>
      </w:r>
      <w:r>
        <w:t xml:space="preserve"> [</w:t>
      </w:r>
      <w:r>
        <w:rPr>
          <w:strike/>
        </w:rPr>
        <w:t xml:space="preserve">17.46(b)(31)</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law, in an action brought by a district or county attorney under this section </w:t>
      </w:r>
      <w:r>
        <w:rPr>
          <w:u w:val="single"/>
        </w:rPr>
        <w:t xml:space="preserve">for a violation of Section 17.46(b)(31)</w:t>
      </w:r>
      <w:r>
        <w:t xml:space="preserve">, all settlements or penalties collected by the district or county attorney shall be divided between the state and the county in which the attorney brought suit, with:</w:t>
      </w:r>
    </w:p>
    <w:p w:rsidR="003F3435" w:rsidRDefault="0032493E">
      <w:pPr>
        <w:spacing w:line="480" w:lineRule="auto"/>
        <w:ind w:firstLine="1440"/>
        <w:jc w:val="both"/>
      </w:pPr>
      <w:r>
        <w:t xml:space="preserve">(1)</w:t>
      </w:r>
      <w:r xml:space="preserve">
        <w:t> </w:t>
      </w:r>
      <w:r xml:space="preserve">
        <w:t> </w:t>
      </w:r>
      <w:r>
        <w:t xml:space="preserve">50 percent of the amount collected paid to the comptroller for deposit to the credit of the basic civil legal services account established by Section 51.943, Government Code; and</w:t>
      </w:r>
    </w:p>
    <w:p w:rsidR="003F3435" w:rsidRDefault="0032493E">
      <w:pPr>
        <w:spacing w:line="480" w:lineRule="auto"/>
        <w:ind w:firstLine="1440"/>
        <w:jc w:val="both"/>
      </w:pPr>
      <w:r>
        <w:t xml:space="preserve">(2)</w:t>
      </w:r>
      <w:r xml:space="preserve">
        <w:t> </w:t>
      </w:r>
      <w:r xml:space="preserve">
        <w:t> </w:t>
      </w:r>
      <w:r>
        <w:t xml:space="preserve">50 percent of the amount collected paid to the county shall be deposited by the county in a segregated account and the funds shall be used only for law enforcement, public health programs, or drug abuse prevention programs.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in an action brought by a district or county attorney under this section for a violation of Section 17.46(b)(27), all settlements or penalties collected by the district or county attorney shall be divided between the state and the county in which the attorney brought suit,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amount collected paid to the comptroller for deposit to the credit of the basic civil legal services account established by Section 51.943,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of the amount collected paid to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act or practice that occurs on or after the effective date of this Act.  An act or practice that occurs before the effective date of this Act is governed by the law in effect on the date the act or practice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