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revocation of do-not-resuscitate orders for patients admitted to a health care facility or hospital.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166.205(a), (b),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physician providing direct care to a patient for whom a DNR order is issued shall revoke the patient's DNR order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advance directive on which the DNR order is based is revoked in accordance with this 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patient or </w:t>
      </w:r>
      <w:r>
        <w:rPr>
          <w:u w:val="single"/>
        </w:rPr>
        <w:t xml:space="preserve">the individual whose direction or treatment decision was the basis for issuing the DNR order</w:t>
      </w:r>
      <w:r>
        <w:t xml:space="preserve">[</w:t>
      </w:r>
      <w:r>
        <w:rPr>
          <w:strike/>
        </w:rPr>
        <w:t xml:space="preserve">, as applicable, the patient's agent under a medical power of attorney or the patient's legal guardian if the patient is incompetent: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effectively revokes an advance directive, in accordance with Section 166.042, for which a DNR order is issued under Section 166.203(a);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expresses to any person providing direct care to the patient a revocation of consent to or intent to revoke a DNR order issued under Section 166.203(a).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providing direct care to a patient under the supervision of a physician shall notify the physician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revocation of the advance directive described by Subsection (a)(1);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request to revoke a DNR order under Subsection </w:t>
      </w:r>
      <w:r>
        <w:rPr>
          <w:u w:val="single"/>
        </w:rPr>
        <w:t xml:space="preserve">(a)(2)</w:t>
      </w:r>
      <w:r>
        <w:t xml:space="preserve"> [</w:t>
      </w:r>
      <w:r>
        <w:rPr>
          <w:strike/>
        </w:rPr>
        <w:t xml:space="preserve">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 patient's attending</w:t>
      </w:r>
      <w:r>
        <w:t xml:space="preserve">] physician </w:t>
      </w:r>
      <w:r>
        <w:rPr>
          <w:u w:val="single"/>
        </w:rPr>
        <w:t xml:space="preserve">who issued</w:t>
      </w:r>
      <w:r>
        <w:t xml:space="preserve"> [</w:t>
      </w:r>
      <w:r>
        <w:rPr>
          <w:strike/>
        </w:rPr>
        <w:t xml:space="preserve">may at any time revoke</w:t>
      </w:r>
      <w:r>
        <w:t xml:space="preserve">] a DNR order issued under Section 166.203(a)(2) </w:t>
      </w:r>
      <w:r>
        <w:rPr>
          <w:u w:val="single"/>
        </w:rPr>
        <w:t xml:space="preserve">may at any time revoke the DNR order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